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E5874" w14:textId="2EB6E696" w:rsidR="00F457C4" w:rsidRDefault="006B0075" w:rsidP="00F457C4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OBRAZLOŽENJE </w:t>
      </w:r>
      <w:r w:rsidR="00F457C4">
        <w:rPr>
          <w:rFonts w:cs="Calibri"/>
          <w:b/>
          <w:sz w:val="28"/>
          <w:szCs w:val="28"/>
        </w:rPr>
        <w:t>GODIŠNJEG IZVJEŠTAJA O IZVR</w:t>
      </w:r>
      <w:r w:rsidR="00822693">
        <w:rPr>
          <w:rFonts w:cs="Calibri"/>
          <w:b/>
          <w:sz w:val="28"/>
          <w:szCs w:val="28"/>
        </w:rPr>
        <w:t>ŠENJU FINANCIJSKOG PLANA ZA 2025</w:t>
      </w:r>
      <w:r w:rsidR="00F457C4">
        <w:rPr>
          <w:rFonts w:cs="Calibri"/>
          <w:b/>
          <w:sz w:val="28"/>
          <w:szCs w:val="28"/>
        </w:rPr>
        <w:t>. GODINU</w:t>
      </w:r>
    </w:p>
    <w:p w14:paraId="0F1430C3" w14:textId="77777777" w:rsidR="00F457C4" w:rsidRDefault="00F457C4" w:rsidP="00F457C4">
      <w:pPr>
        <w:spacing w:after="0"/>
        <w:jc w:val="center"/>
        <w:rPr>
          <w:rFonts w:cs="Calibri"/>
          <w:b/>
          <w:sz w:val="28"/>
          <w:szCs w:val="28"/>
        </w:rPr>
      </w:pPr>
    </w:p>
    <w:p w14:paraId="149F5B6B" w14:textId="5D768D2D" w:rsidR="00F457C4" w:rsidRPr="00CE03D8" w:rsidRDefault="006B0075" w:rsidP="00F457C4">
      <w:pPr>
        <w:spacing w:after="0"/>
        <w:jc w:val="center"/>
        <w:rPr>
          <w:rFonts w:cs="Calibri"/>
          <w:b/>
          <w:i/>
          <w:iCs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</w:rPr>
        <w:t>RAZDOBLJE: 01.01.-31.12</w:t>
      </w:r>
      <w:r w:rsidR="00822693">
        <w:rPr>
          <w:rFonts w:cs="Calibri"/>
          <w:b/>
          <w:i/>
          <w:iCs/>
          <w:sz w:val="24"/>
          <w:szCs w:val="24"/>
        </w:rPr>
        <w:t>.2025</w:t>
      </w:r>
      <w:r w:rsidR="00F457C4" w:rsidRPr="00CE03D8">
        <w:rPr>
          <w:rFonts w:cs="Calibri"/>
          <w:b/>
          <w:i/>
          <w:iCs/>
          <w:sz w:val="24"/>
          <w:szCs w:val="24"/>
        </w:rPr>
        <w:t>.</w:t>
      </w:r>
    </w:p>
    <w:p w14:paraId="4082E2A6" w14:textId="77777777" w:rsidR="00F457C4" w:rsidRDefault="00F457C4" w:rsidP="00F457C4">
      <w:pPr>
        <w:spacing w:after="0"/>
        <w:rPr>
          <w:rFonts w:cs="Calibri"/>
          <w:b/>
        </w:rPr>
      </w:pPr>
    </w:p>
    <w:p w14:paraId="3AF18205" w14:textId="302417CE" w:rsidR="00517282" w:rsidRDefault="00517282" w:rsidP="00D562B1">
      <w:pPr>
        <w:spacing w:after="0"/>
      </w:pPr>
    </w:p>
    <w:p w14:paraId="73B2188B" w14:textId="62010307" w:rsidR="00D562B1" w:rsidRDefault="00D562B1" w:rsidP="00D562B1">
      <w:pPr>
        <w:spacing w:after="0"/>
      </w:pPr>
    </w:p>
    <w:p w14:paraId="5BDE12CF" w14:textId="71848549" w:rsidR="00D562B1" w:rsidRDefault="00D562B1" w:rsidP="00D562B1">
      <w:pPr>
        <w:spacing w:after="0"/>
      </w:pPr>
    </w:p>
    <w:p w14:paraId="5D879A28" w14:textId="253C66A3" w:rsidR="00F457C4" w:rsidRDefault="006B0075" w:rsidP="00F457C4">
      <w:pPr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Obveza izrade </w:t>
      </w:r>
      <w:r w:rsidR="00F457C4">
        <w:rPr>
          <w:rFonts w:cs="Calibri"/>
        </w:rPr>
        <w:t xml:space="preserve"> godišnjeg izvještaja o izvršenju financijskog plan</w:t>
      </w:r>
      <w:r w:rsidR="009D7C04">
        <w:rPr>
          <w:rFonts w:cs="Calibri"/>
        </w:rPr>
        <w:t xml:space="preserve">a proračunskih korisnika  čl. 76.st.3.i čl.81.st3. Zakona o proračunu NN </w:t>
      </w:r>
      <w:proofErr w:type="spellStart"/>
      <w:r w:rsidR="009D7C04">
        <w:rPr>
          <w:rFonts w:cs="Calibri"/>
        </w:rPr>
        <w:t>br</w:t>
      </w:r>
      <w:proofErr w:type="spellEnd"/>
      <w:r w:rsidR="009D7C04">
        <w:rPr>
          <w:rFonts w:cs="Calibri"/>
        </w:rPr>
        <w:t>: 144/21</w:t>
      </w:r>
      <w:r>
        <w:rPr>
          <w:rFonts w:cs="Calibri"/>
        </w:rPr>
        <w:t xml:space="preserve"> (25.07</w:t>
      </w:r>
      <w:r w:rsidR="009D7C04">
        <w:rPr>
          <w:rFonts w:cs="Calibri"/>
        </w:rPr>
        <w:t>.2023.)</w:t>
      </w:r>
    </w:p>
    <w:p w14:paraId="3631D1DD" w14:textId="77777777" w:rsidR="00F457C4" w:rsidRDefault="00F457C4" w:rsidP="00F457C4">
      <w:pPr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Izvještaj o izvršenju </w:t>
      </w:r>
      <w:r w:rsidRPr="00CE03D8">
        <w:rPr>
          <w:rFonts w:cs="Calibri"/>
        </w:rPr>
        <w:t xml:space="preserve">financijskog plana </w:t>
      </w:r>
      <w:r>
        <w:rPr>
          <w:rFonts w:cs="Calibri"/>
        </w:rPr>
        <w:t>pokazuje jesu li sredstva utrošena sukladno donesenom financijskom planu te njegov sadržaj mora biti u skladu s podacima iskazanim u planu posebice jer su podaci iz izvještaja o izvršenju financijskih planova proračunskog korisnika dio izvještaja o izvršenju JLP(R)S.</w:t>
      </w:r>
    </w:p>
    <w:p w14:paraId="304CE341" w14:textId="77777777" w:rsidR="00F457C4" w:rsidRPr="000B28D8" w:rsidRDefault="00F457C4" w:rsidP="00F457C4">
      <w:pPr>
        <w:spacing w:after="0" w:line="240" w:lineRule="auto"/>
        <w:ind w:firstLine="708"/>
        <w:jc w:val="both"/>
        <w:rPr>
          <w:rFonts w:eastAsia="Times New Roman" w:cs="Calibri"/>
        </w:rPr>
      </w:pPr>
      <w:r>
        <w:rPr>
          <w:rFonts w:eastAsia="Times New Roman" w:cs="Calibri"/>
        </w:rPr>
        <w:t>S</w:t>
      </w:r>
      <w:r w:rsidRPr="000B28D8">
        <w:rPr>
          <w:rFonts w:eastAsia="Times New Roman" w:cs="Calibri"/>
        </w:rPr>
        <w:t>astavljanje polugodišnjeg i godišnjeg izvještaja</w:t>
      </w:r>
      <w:r>
        <w:rPr>
          <w:rFonts w:eastAsia="Times New Roman" w:cs="Calibri"/>
        </w:rPr>
        <w:t xml:space="preserve"> o izvršenju financijskog plana obvezno je i k</w:t>
      </w:r>
      <w:r w:rsidRPr="000B28D8">
        <w:rPr>
          <w:rFonts w:eastAsia="Times New Roman" w:cs="Calibri"/>
        </w:rPr>
        <w:t>ako bi potvrdno odgovorili na pitanje br. 62. Upitnika o fiskalnoj odgovornosti</w:t>
      </w:r>
      <w:r>
        <w:rPr>
          <w:rFonts w:eastAsia="Times New Roman" w:cs="Calibri"/>
        </w:rPr>
        <w:t>. Polugodišnji i</w:t>
      </w:r>
      <w:r w:rsidRPr="000B28D8">
        <w:rPr>
          <w:rFonts w:eastAsia="Times New Roman" w:cs="Calibri"/>
        </w:rPr>
        <w:t xml:space="preserve">zvještaj o izvršenju financijskog plana predstavlja se Školskom odboru te dostavlja osnivaču Zagrebačkoj županiji. </w:t>
      </w:r>
    </w:p>
    <w:p w14:paraId="10B6F188" w14:textId="5C501315" w:rsidR="00F457C4" w:rsidRPr="000B28D8" w:rsidRDefault="00E4446D" w:rsidP="00F457C4">
      <w:pPr>
        <w:spacing w:after="0" w:line="240" w:lineRule="auto"/>
        <w:ind w:firstLine="708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</w:p>
    <w:p w14:paraId="555CBBBB" w14:textId="77777777" w:rsidR="00F457C4" w:rsidRDefault="00F457C4" w:rsidP="00F457C4">
      <w:pPr>
        <w:spacing w:after="0" w:line="240" w:lineRule="auto"/>
        <w:ind w:firstLine="708"/>
        <w:jc w:val="both"/>
        <w:rPr>
          <w:rFonts w:cs="Calibri"/>
        </w:rPr>
      </w:pPr>
    </w:p>
    <w:p w14:paraId="619AE027" w14:textId="3EBBB336" w:rsidR="00F457C4" w:rsidRDefault="00BC4866" w:rsidP="00F457C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G</w:t>
      </w:r>
      <w:r w:rsidR="00F457C4">
        <w:rPr>
          <w:rFonts w:cs="Calibri"/>
        </w:rPr>
        <w:t xml:space="preserve">odišnji izvještaj o izvršenju financijskog plana OŠ </w:t>
      </w:r>
      <w:proofErr w:type="spellStart"/>
      <w:r w:rsidR="00F457C4">
        <w:rPr>
          <w:rFonts w:cs="Calibri"/>
        </w:rPr>
        <w:t>Rugvice</w:t>
      </w:r>
      <w:proofErr w:type="spellEnd"/>
      <w:r w:rsidR="00F457C4">
        <w:rPr>
          <w:rFonts w:cs="Calibri"/>
        </w:rPr>
        <w:t xml:space="preserve"> sastoji se od: </w:t>
      </w:r>
    </w:p>
    <w:p w14:paraId="0D96359A" w14:textId="77777777" w:rsidR="00F457C4" w:rsidRDefault="00F457C4" w:rsidP="00F457C4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Opći dio</w:t>
      </w:r>
      <w:r>
        <w:rPr>
          <w:rFonts w:cs="Calibri"/>
        </w:rPr>
        <w:t>: -      Sažetak A. Računa prihoda i rashoda, B. Računa financiranja i C. Preneseni višak ili manjak i višegodišnji plan uravnoteženja</w:t>
      </w:r>
    </w:p>
    <w:p w14:paraId="56930AF8" w14:textId="77777777" w:rsidR="00F457C4" w:rsidRDefault="00F457C4" w:rsidP="00F457C4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Račun prihoda i rashoda</w:t>
      </w:r>
    </w:p>
    <w:p w14:paraId="6218A482" w14:textId="77777777" w:rsidR="00F457C4" w:rsidRDefault="00F457C4" w:rsidP="00F457C4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Rashodi prema funkcijskoj klasifikaciji</w:t>
      </w:r>
    </w:p>
    <w:p w14:paraId="666BF5F4" w14:textId="77777777" w:rsidR="00F457C4" w:rsidRDefault="00F457C4" w:rsidP="00F457C4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Račun financiranja</w:t>
      </w:r>
    </w:p>
    <w:p w14:paraId="56C76C9A" w14:textId="77777777" w:rsidR="00F457C4" w:rsidRDefault="00F457C4" w:rsidP="00F457C4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Posebni dio</w:t>
      </w:r>
      <w:r>
        <w:rPr>
          <w:rFonts w:cs="Calibri"/>
        </w:rPr>
        <w:t>:  – Izvršenje rashoda i izdataka prema programskoj i ekonomskoj klasifikaciji te izvorima financiranja</w:t>
      </w:r>
    </w:p>
    <w:p w14:paraId="3B9E3D6B" w14:textId="77777777" w:rsidR="00F457C4" w:rsidRDefault="00F457C4" w:rsidP="00F457C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Obrazloženje </w:t>
      </w:r>
    </w:p>
    <w:p w14:paraId="40A6F3CF" w14:textId="77777777" w:rsidR="00F457C4" w:rsidRDefault="00F457C4" w:rsidP="00F457C4">
      <w:pPr>
        <w:spacing w:after="0" w:line="240" w:lineRule="auto"/>
        <w:jc w:val="both"/>
        <w:rPr>
          <w:rFonts w:eastAsia="Times New Roman" w:cs="Calibri"/>
          <w:bCs/>
        </w:rPr>
      </w:pPr>
    </w:p>
    <w:p w14:paraId="5FE4200B" w14:textId="77777777" w:rsidR="00F457C4" w:rsidRDefault="00F457C4" w:rsidP="00F457C4">
      <w:pPr>
        <w:spacing w:after="0"/>
        <w:rPr>
          <w:rFonts w:cs="Calibri"/>
          <w:b/>
        </w:rPr>
      </w:pPr>
    </w:p>
    <w:p w14:paraId="66852226" w14:textId="1C7C0138" w:rsidR="00D562B1" w:rsidRDefault="00D562B1" w:rsidP="00D562B1">
      <w:pPr>
        <w:spacing w:after="0"/>
        <w:jc w:val="center"/>
        <w:rPr>
          <w:sz w:val="36"/>
          <w:szCs w:val="36"/>
        </w:rPr>
      </w:pPr>
    </w:p>
    <w:p w14:paraId="57057949" w14:textId="0269467C" w:rsidR="00FD2AE8" w:rsidRDefault="00BC4866" w:rsidP="00FD2AE8">
      <w:pPr>
        <w:spacing w:after="0"/>
        <w:jc w:val="center"/>
        <w:rPr>
          <w:rFonts w:eastAsia="Times New Roman" w:cs="Calibri"/>
          <w:b/>
          <w:iCs/>
          <w:sz w:val="24"/>
          <w:szCs w:val="24"/>
          <w:lang w:eastAsia="hr-HR"/>
        </w:rPr>
      </w:pPr>
      <w:r>
        <w:rPr>
          <w:rFonts w:eastAsia="Times New Roman" w:cs="Calibri"/>
          <w:b/>
          <w:iCs/>
          <w:sz w:val="24"/>
          <w:szCs w:val="24"/>
          <w:lang w:eastAsia="hr-HR"/>
        </w:rPr>
        <w:t xml:space="preserve">OBRAZLOŽENJE OPĆEG DIJELA </w:t>
      </w:r>
      <w:r w:rsidR="00FD2AE8" w:rsidRPr="00875316">
        <w:rPr>
          <w:rFonts w:eastAsia="Times New Roman" w:cs="Calibri"/>
          <w:b/>
          <w:iCs/>
          <w:sz w:val="24"/>
          <w:szCs w:val="24"/>
          <w:lang w:eastAsia="hr-HR"/>
        </w:rPr>
        <w:t>GODIŠNJEG IZVJEŠTAJA O IZVR</w:t>
      </w:r>
      <w:r w:rsidR="00E4446D">
        <w:rPr>
          <w:rFonts w:eastAsia="Times New Roman" w:cs="Calibri"/>
          <w:b/>
          <w:iCs/>
          <w:sz w:val="24"/>
          <w:szCs w:val="24"/>
          <w:lang w:eastAsia="hr-HR"/>
        </w:rPr>
        <w:t xml:space="preserve">ŠENJU FINANCIJSKOG PLANA </w:t>
      </w:r>
      <w:r w:rsidR="00822693">
        <w:rPr>
          <w:rFonts w:eastAsia="Times New Roman" w:cs="Calibri"/>
          <w:b/>
          <w:iCs/>
          <w:sz w:val="24"/>
          <w:szCs w:val="24"/>
          <w:lang w:eastAsia="hr-HR"/>
        </w:rPr>
        <w:t>ZA 2025</w:t>
      </w:r>
      <w:r w:rsidR="00FD2AE8" w:rsidRPr="00875316">
        <w:rPr>
          <w:rFonts w:eastAsia="Times New Roman" w:cs="Calibri"/>
          <w:b/>
          <w:iCs/>
          <w:sz w:val="24"/>
          <w:szCs w:val="24"/>
          <w:lang w:eastAsia="hr-HR"/>
        </w:rPr>
        <w:t xml:space="preserve">. GODINU </w:t>
      </w:r>
    </w:p>
    <w:p w14:paraId="080AB9AB" w14:textId="77777777" w:rsidR="00FD2AE8" w:rsidRDefault="00FD2AE8" w:rsidP="00FD2AE8">
      <w:pPr>
        <w:spacing w:after="0"/>
        <w:jc w:val="center"/>
        <w:rPr>
          <w:rFonts w:eastAsia="Times New Roman" w:cs="Calibri"/>
          <w:b/>
          <w:iCs/>
          <w:sz w:val="24"/>
          <w:szCs w:val="24"/>
          <w:lang w:eastAsia="hr-HR"/>
        </w:rPr>
      </w:pPr>
    </w:p>
    <w:p w14:paraId="1E8187ED" w14:textId="265D6713" w:rsidR="00FD2AE8" w:rsidRDefault="00FD2AE8" w:rsidP="00FD2AE8">
      <w:pPr>
        <w:spacing w:after="0" w:line="240" w:lineRule="auto"/>
        <w:jc w:val="center"/>
        <w:rPr>
          <w:rFonts w:eastAsia="Times New Roman" w:cs="Calibri"/>
          <w:b/>
          <w:bCs/>
          <w:i/>
          <w:iCs/>
          <w:sz w:val="24"/>
          <w:szCs w:val="24"/>
        </w:rPr>
      </w:pPr>
      <w:r>
        <w:rPr>
          <w:rFonts w:eastAsia="Times New Roman" w:cs="Calibri"/>
          <w:b/>
          <w:bCs/>
          <w:i/>
          <w:sz w:val="24"/>
          <w:szCs w:val="24"/>
        </w:rPr>
        <w:t xml:space="preserve">Sažetak A. Računa prihoda i rashoda, B. Računa financiranja </w:t>
      </w:r>
    </w:p>
    <w:p w14:paraId="6A48486A" w14:textId="77777777" w:rsidR="00FD2AE8" w:rsidRDefault="00FD2AE8" w:rsidP="00FD2AE8">
      <w:pPr>
        <w:spacing w:after="0"/>
        <w:jc w:val="center"/>
        <w:rPr>
          <w:rFonts w:eastAsia="Times New Roman" w:cs="Calibri"/>
          <w:b/>
          <w:iCs/>
          <w:sz w:val="24"/>
          <w:szCs w:val="24"/>
          <w:lang w:eastAsia="hr-HR"/>
        </w:rPr>
      </w:pPr>
    </w:p>
    <w:p w14:paraId="720F08FC" w14:textId="77777777" w:rsidR="00FD2AE8" w:rsidRDefault="00FD2AE8" w:rsidP="00FD2AE8">
      <w:pPr>
        <w:numPr>
          <w:ilvl w:val="0"/>
          <w:numId w:val="4"/>
        </w:numPr>
        <w:spacing w:after="0" w:line="276" w:lineRule="auto"/>
        <w:rPr>
          <w:rFonts w:eastAsia="Times New Roman" w:cs="Calibri"/>
          <w:b/>
          <w:iCs/>
          <w:lang w:eastAsia="hr-HR"/>
        </w:rPr>
      </w:pPr>
      <w:r w:rsidRPr="004F3EF6">
        <w:rPr>
          <w:rFonts w:eastAsia="Times New Roman" w:cs="Calibri"/>
          <w:b/>
          <w:iCs/>
          <w:lang w:eastAsia="hr-HR"/>
        </w:rPr>
        <w:t>Račun prihoda i rashoda</w:t>
      </w:r>
    </w:p>
    <w:p w14:paraId="45D89CC3" w14:textId="77777777" w:rsidR="00FD2AE8" w:rsidRPr="004F3EF6" w:rsidRDefault="00FD2AE8" w:rsidP="00FD2AE8">
      <w:pPr>
        <w:spacing w:after="0"/>
        <w:rPr>
          <w:rFonts w:eastAsia="Times New Roman" w:cs="Calibri"/>
          <w:b/>
          <w:iCs/>
          <w:lang w:eastAsia="hr-HR"/>
        </w:rPr>
      </w:pPr>
    </w:p>
    <w:p w14:paraId="2202D05D" w14:textId="6E12BE75" w:rsidR="00FD2AE8" w:rsidRDefault="00FD2AE8" w:rsidP="00FD2AE8">
      <w:pPr>
        <w:spacing w:after="0" w:line="240" w:lineRule="auto"/>
        <w:ind w:firstLine="708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U tablici Izvještaja </w:t>
      </w:r>
      <w:r w:rsidRPr="007D6833">
        <w:rPr>
          <w:rFonts w:eastAsia="Times New Roman" w:cs="Calibri"/>
        </w:rPr>
        <w:t xml:space="preserve">Sažetak A. Računa prihoda i rashoda </w:t>
      </w:r>
      <w:r>
        <w:rPr>
          <w:rFonts w:eastAsia="Times New Roman" w:cs="Calibri"/>
        </w:rPr>
        <w:t>prikazani su ostvareni prihodi i izvršen</w:t>
      </w:r>
      <w:r w:rsidR="00BC4866">
        <w:rPr>
          <w:rFonts w:eastAsia="Times New Roman" w:cs="Calibri"/>
        </w:rPr>
        <w:t>i rashod</w:t>
      </w:r>
      <w:r w:rsidR="00822693">
        <w:rPr>
          <w:rFonts w:eastAsia="Times New Roman" w:cs="Calibri"/>
        </w:rPr>
        <w:t>i za razdoblje 01.01.-31.12.2025</w:t>
      </w:r>
      <w:r>
        <w:rPr>
          <w:rFonts w:eastAsia="Times New Roman" w:cs="Calibri"/>
        </w:rPr>
        <w:t>. godine, plani</w:t>
      </w:r>
      <w:r w:rsidR="004E0899">
        <w:rPr>
          <w:rFonts w:eastAsia="Times New Roman" w:cs="Calibri"/>
        </w:rPr>
        <w:t>rani prihodi i rashodi</w:t>
      </w:r>
      <w:r w:rsidR="00822693">
        <w:rPr>
          <w:rFonts w:eastAsia="Times New Roman" w:cs="Calibri"/>
        </w:rPr>
        <w:t xml:space="preserve"> za 2025</w:t>
      </w:r>
      <w:r>
        <w:rPr>
          <w:rFonts w:eastAsia="Times New Roman" w:cs="Calibri"/>
        </w:rPr>
        <w:t>. godinu, te ostvareni prihodi i  izvrše</w:t>
      </w:r>
      <w:r w:rsidR="00BC4866">
        <w:rPr>
          <w:rFonts w:eastAsia="Times New Roman" w:cs="Calibri"/>
        </w:rPr>
        <w:t>ni rashodi za razdoblje 01.01.-31.12</w:t>
      </w:r>
      <w:r w:rsidR="00822693">
        <w:rPr>
          <w:rFonts w:eastAsia="Times New Roman" w:cs="Calibri"/>
        </w:rPr>
        <w:t>.2025</w:t>
      </w:r>
      <w:r>
        <w:rPr>
          <w:rFonts w:eastAsia="Times New Roman" w:cs="Calibri"/>
        </w:rPr>
        <w:t>. godine, te razlike između njih.</w:t>
      </w:r>
    </w:p>
    <w:p w14:paraId="61004C5C" w14:textId="0588266B" w:rsidR="00FD2AE8" w:rsidRPr="004E0899" w:rsidRDefault="00FD2AE8" w:rsidP="004E08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cs="Calibri"/>
        </w:rPr>
        <w:t>Ukupno ostvareni prihodi na dan 3</w:t>
      </w:r>
      <w:r w:rsidR="00483F28">
        <w:rPr>
          <w:rFonts w:cs="Calibri"/>
        </w:rPr>
        <w:t>1</w:t>
      </w:r>
      <w:r>
        <w:rPr>
          <w:rFonts w:cs="Calibri"/>
        </w:rPr>
        <w:t>.</w:t>
      </w:r>
      <w:r w:rsidR="00483F28">
        <w:rPr>
          <w:rFonts w:cs="Calibri"/>
        </w:rPr>
        <w:t>12</w:t>
      </w:r>
      <w:r w:rsidR="00822693">
        <w:rPr>
          <w:rFonts w:cs="Calibri"/>
        </w:rPr>
        <w:t>.2025</w:t>
      </w:r>
      <w:r>
        <w:rPr>
          <w:rFonts w:cs="Calibri"/>
        </w:rPr>
        <w:t xml:space="preserve">. godine iznose = </w:t>
      </w:r>
      <w:r w:rsidR="00822693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3.036.669,43</w:t>
      </w:r>
      <w:r w:rsidR="004E0899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822693">
        <w:rPr>
          <w:rFonts w:cs="Calibri"/>
        </w:rPr>
        <w:t>€.</w:t>
      </w:r>
      <w:r>
        <w:rPr>
          <w:rFonts w:cs="Calibri"/>
        </w:rPr>
        <w:t xml:space="preserve"> godinu. U odn</w:t>
      </w:r>
      <w:r w:rsidR="00822693">
        <w:rPr>
          <w:rFonts w:cs="Calibri"/>
        </w:rPr>
        <w:t>osu na Financijski plan  za 2025</w:t>
      </w:r>
      <w:r>
        <w:rPr>
          <w:rFonts w:cs="Calibri"/>
        </w:rPr>
        <w:t xml:space="preserve">. godini ostvareno je </w:t>
      </w:r>
      <w:r w:rsidR="00483F28">
        <w:rPr>
          <w:rFonts w:cs="Calibri"/>
        </w:rPr>
        <w:t>31,33</w:t>
      </w:r>
      <w:r>
        <w:rPr>
          <w:rFonts w:cs="Calibri"/>
        </w:rPr>
        <w:t xml:space="preserve"> % planiranih prihoda. </w:t>
      </w:r>
    </w:p>
    <w:p w14:paraId="637E57B0" w14:textId="52328A96" w:rsidR="00FD2AE8" w:rsidRDefault="00822693" w:rsidP="00822693">
      <w:pPr>
        <w:pStyle w:val="Bezproreda"/>
        <w:rPr>
          <w:rFonts w:cs="Calibri"/>
        </w:rPr>
      </w:pPr>
      <w:r>
        <w:rPr>
          <w:rFonts w:eastAsia="Times New Roman" w:cs="Calibri"/>
        </w:rPr>
        <w:t xml:space="preserve"> I</w:t>
      </w:r>
      <w:r w:rsidR="00456EB8">
        <w:rPr>
          <w:rFonts w:eastAsia="Times New Roman" w:cs="Calibri"/>
        </w:rPr>
        <w:t>zvršeni rashodi na dan 31.12</w:t>
      </w:r>
      <w:r>
        <w:rPr>
          <w:rFonts w:eastAsia="Times New Roman" w:cs="Calibri"/>
        </w:rPr>
        <w:t>.2025</w:t>
      </w:r>
      <w:r w:rsidR="00FD2AE8">
        <w:rPr>
          <w:rFonts w:eastAsia="Times New Roman" w:cs="Calibri"/>
        </w:rPr>
        <w:t xml:space="preserve">. godine iznose = </w:t>
      </w:r>
      <w:r>
        <w:rPr>
          <w:rFonts w:eastAsia="Times New Roman" w:cs="Calibri"/>
        </w:rPr>
        <w:t>3.102.698,31</w:t>
      </w:r>
      <w:r w:rsidR="00483F28">
        <w:rPr>
          <w:rFonts w:eastAsia="Times New Roman" w:cs="Calibri"/>
        </w:rPr>
        <w:t xml:space="preserve"> € što je za </w:t>
      </w:r>
      <w:r w:rsidR="004F299E">
        <w:rPr>
          <w:rFonts w:eastAsia="Times New Roman" w:cs="Calibri"/>
        </w:rPr>
        <w:t>21,75</w:t>
      </w:r>
      <w:r w:rsidR="00FD2AE8">
        <w:rPr>
          <w:rFonts w:eastAsia="Times New Roman" w:cs="Calibri"/>
        </w:rPr>
        <w:t>%</w:t>
      </w:r>
      <w:r w:rsidR="00FD2AE8">
        <w:rPr>
          <w:rFonts w:cs="Calibri"/>
        </w:rPr>
        <w:t xml:space="preserve"> više  u odnosu na prethodnu godinu. U odn</w:t>
      </w:r>
      <w:r>
        <w:rPr>
          <w:rFonts w:cs="Calibri"/>
        </w:rPr>
        <w:t>osu na Financijski plan  za 2025</w:t>
      </w:r>
      <w:r w:rsidR="00FD2AE8">
        <w:rPr>
          <w:rFonts w:cs="Calibri"/>
        </w:rPr>
        <w:t xml:space="preserve">. godini izvršeno je </w:t>
      </w:r>
      <w:r w:rsidR="00483F28">
        <w:rPr>
          <w:rFonts w:cs="Calibri"/>
        </w:rPr>
        <w:t>31,36</w:t>
      </w:r>
      <w:r w:rsidR="00FD2AE8">
        <w:rPr>
          <w:rFonts w:cs="Calibri"/>
        </w:rPr>
        <w:t xml:space="preserve"> % planiranih rashoda. </w:t>
      </w:r>
    </w:p>
    <w:p w14:paraId="00F6D4DB" w14:textId="0F961497" w:rsidR="00FD2AE8" w:rsidRDefault="00456EB8" w:rsidP="00FD2AE8">
      <w:pPr>
        <w:pStyle w:val="Bezproreda"/>
        <w:ind w:firstLine="708"/>
        <w:rPr>
          <w:rFonts w:cs="Calibri"/>
        </w:rPr>
      </w:pPr>
      <w:r>
        <w:rPr>
          <w:rFonts w:cs="Calibri"/>
        </w:rPr>
        <w:t>Za razdoblje 01.01.-31.12</w:t>
      </w:r>
      <w:r w:rsidR="00822693">
        <w:rPr>
          <w:rFonts w:cs="Calibri"/>
        </w:rPr>
        <w:t>.2025</w:t>
      </w:r>
      <w:r w:rsidR="00FD2AE8">
        <w:rPr>
          <w:rFonts w:cs="Calibri"/>
        </w:rPr>
        <w:t>. ostvaren je manjak pri</w:t>
      </w:r>
      <w:r w:rsidR="00483F28">
        <w:rPr>
          <w:rFonts w:cs="Calibri"/>
        </w:rPr>
        <w:t xml:space="preserve">hoda u iznosu od = </w:t>
      </w:r>
      <w:r>
        <w:rPr>
          <w:rFonts w:cs="Calibri"/>
        </w:rPr>
        <w:t>-</w:t>
      </w:r>
      <w:r w:rsidR="00822693">
        <w:rPr>
          <w:rFonts w:cs="Calibri"/>
        </w:rPr>
        <w:t>152.018,58</w:t>
      </w:r>
      <w:r w:rsidR="00FD2AE8">
        <w:rPr>
          <w:rFonts w:cs="Calibri"/>
        </w:rPr>
        <w:t xml:space="preserve"> €</w:t>
      </w:r>
    </w:p>
    <w:p w14:paraId="5C478D05" w14:textId="3FF9E430" w:rsidR="00D562B1" w:rsidRDefault="00D562B1" w:rsidP="00D562B1">
      <w:pPr>
        <w:spacing w:after="0"/>
        <w:jc w:val="center"/>
        <w:rPr>
          <w:sz w:val="36"/>
          <w:szCs w:val="36"/>
        </w:rPr>
      </w:pPr>
    </w:p>
    <w:p w14:paraId="33C88D46" w14:textId="77777777" w:rsidR="00AF2E10" w:rsidRDefault="00AF2E10" w:rsidP="00D562B1">
      <w:pPr>
        <w:spacing w:after="0"/>
        <w:rPr>
          <w:sz w:val="24"/>
          <w:szCs w:val="24"/>
        </w:rPr>
      </w:pPr>
    </w:p>
    <w:p w14:paraId="4793D074" w14:textId="0CB0C683" w:rsidR="001911A2" w:rsidRDefault="001911A2" w:rsidP="00D562B1">
      <w:pPr>
        <w:spacing w:after="0"/>
        <w:rPr>
          <w:sz w:val="24"/>
          <w:szCs w:val="24"/>
        </w:rPr>
      </w:pPr>
    </w:p>
    <w:p w14:paraId="17BF730E" w14:textId="26AD8FD1" w:rsidR="00D562B1" w:rsidRDefault="00D562B1" w:rsidP="00D562B1">
      <w:pPr>
        <w:spacing w:after="0"/>
        <w:jc w:val="center"/>
        <w:rPr>
          <w:sz w:val="40"/>
          <w:szCs w:val="40"/>
        </w:rPr>
      </w:pPr>
    </w:p>
    <w:p w14:paraId="6B731373" w14:textId="38BE0A67" w:rsidR="00D562B1" w:rsidRDefault="00D562B1" w:rsidP="00D562B1">
      <w:pPr>
        <w:spacing w:after="0"/>
        <w:jc w:val="center"/>
        <w:rPr>
          <w:sz w:val="40"/>
          <w:szCs w:val="40"/>
        </w:rPr>
      </w:pPr>
    </w:p>
    <w:p w14:paraId="6DA1F359" w14:textId="77777777" w:rsidR="00D562B1" w:rsidRPr="00D562B1" w:rsidRDefault="00D562B1" w:rsidP="00D562B1">
      <w:pPr>
        <w:spacing w:after="0"/>
        <w:rPr>
          <w:sz w:val="24"/>
          <w:szCs w:val="24"/>
        </w:rPr>
      </w:pPr>
    </w:p>
    <w:p w14:paraId="5E15D8E6" w14:textId="1245FC08" w:rsidR="00F268B0" w:rsidRPr="006123AF" w:rsidRDefault="000660FF" w:rsidP="00F268B0">
      <w:pPr>
        <w:spacing w:after="0"/>
        <w:jc w:val="right"/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71588EA" wp14:editId="7843B7EB">
            <wp:simplePos x="895350" y="4419600"/>
            <wp:positionH relativeFrom="margin">
              <wp:align>left</wp:align>
            </wp:positionH>
            <wp:positionV relativeFrom="paragraph">
              <wp:align>top</wp:align>
            </wp:positionV>
            <wp:extent cx="3724275" cy="3124200"/>
            <wp:effectExtent l="0" t="0" r="9525" b="0"/>
            <wp:wrapSquare wrapText="bothSides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CD4EAB5-3E53-079E-5DBD-86FA35C3DB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243A48">
        <w:t xml:space="preserve"> </w:t>
      </w:r>
    </w:p>
    <w:p w14:paraId="71C8D7BD" w14:textId="213BE828" w:rsidR="00107727" w:rsidRDefault="00107727" w:rsidP="006123AF">
      <w:pPr>
        <w:tabs>
          <w:tab w:val="left" w:pos="5595"/>
        </w:tabs>
      </w:pPr>
    </w:p>
    <w:p w14:paraId="123147CC" w14:textId="77777777" w:rsidR="00107727" w:rsidRPr="00107727" w:rsidRDefault="00107727" w:rsidP="00107727"/>
    <w:p w14:paraId="0885C40E" w14:textId="77777777" w:rsidR="00107727" w:rsidRPr="00107727" w:rsidRDefault="00107727" w:rsidP="00107727"/>
    <w:p w14:paraId="53A1A229" w14:textId="77777777" w:rsidR="00107727" w:rsidRPr="00107727" w:rsidRDefault="00107727" w:rsidP="00107727"/>
    <w:p w14:paraId="209B8695" w14:textId="77777777" w:rsidR="00107727" w:rsidRPr="00107727" w:rsidRDefault="00107727" w:rsidP="00107727"/>
    <w:p w14:paraId="11227F46" w14:textId="77777777" w:rsidR="00107727" w:rsidRPr="00107727" w:rsidRDefault="00107727" w:rsidP="00107727"/>
    <w:p w14:paraId="140A1520" w14:textId="77777777" w:rsidR="00107727" w:rsidRPr="00107727" w:rsidRDefault="00107727" w:rsidP="00107727"/>
    <w:p w14:paraId="61275D53" w14:textId="77777777" w:rsidR="00107727" w:rsidRPr="00107727" w:rsidRDefault="00107727" w:rsidP="00107727"/>
    <w:p w14:paraId="6F9E225F" w14:textId="77777777" w:rsidR="00107727" w:rsidRPr="00107727" w:rsidRDefault="00107727" w:rsidP="00107727"/>
    <w:p w14:paraId="3FBCD144" w14:textId="75BD233D" w:rsidR="00107727" w:rsidRDefault="00107727" w:rsidP="00107727">
      <w:pPr>
        <w:tabs>
          <w:tab w:val="left" w:pos="1995"/>
        </w:tabs>
      </w:pPr>
      <w:r>
        <w:tab/>
      </w:r>
    </w:p>
    <w:p w14:paraId="29185681" w14:textId="77777777" w:rsidR="003C1AA8" w:rsidRDefault="00107727" w:rsidP="003C1AA8">
      <w:pPr>
        <w:pStyle w:val="Bezproreda"/>
        <w:rPr>
          <w:rFonts w:cs="Calibri"/>
          <w:b/>
          <w:bCs/>
        </w:rPr>
      </w:pPr>
      <w:r>
        <w:br w:type="textWrapping" w:clear="all"/>
      </w:r>
    </w:p>
    <w:p w14:paraId="1D553FF8" w14:textId="77777777" w:rsidR="003C1AA8" w:rsidRDefault="003C1AA8" w:rsidP="003C1AA8">
      <w:pPr>
        <w:pStyle w:val="Bezproreda"/>
        <w:rPr>
          <w:rFonts w:cs="Calibri"/>
          <w:b/>
          <w:bCs/>
        </w:rPr>
      </w:pPr>
    </w:p>
    <w:p w14:paraId="5CF521E6" w14:textId="77777777" w:rsidR="003C1AA8" w:rsidRDefault="003C1AA8" w:rsidP="003C1AA8">
      <w:pPr>
        <w:pStyle w:val="Bezproreda"/>
        <w:rPr>
          <w:rFonts w:cs="Calibri"/>
          <w:b/>
          <w:bCs/>
        </w:rPr>
      </w:pPr>
    </w:p>
    <w:p w14:paraId="1648C8D0" w14:textId="77777777" w:rsidR="003C1AA8" w:rsidRDefault="003C1AA8" w:rsidP="003C1AA8">
      <w:pPr>
        <w:pStyle w:val="Bezproreda"/>
        <w:rPr>
          <w:rFonts w:cs="Calibri"/>
          <w:b/>
          <w:bCs/>
        </w:rPr>
      </w:pPr>
    </w:p>
    <w:p w14:paraId="18E603D6" w14:textId="43224F4B" w:rsidR="003C1AA8" w:rsidRDefault="003C1AA8" w:rsidP="003C1AA8">
      <w:pPr>
        <w:pStyle w:val="Bezproreda"/>
        <w:rPr>
          <w:rFonts w:cs="Calibri"/>
          <w:b/>
          <w:bCs/>
        </w:rPr>
      </w:pPr>
      <w:r>
        <w:rPr>
          <w:rFonts w:cs="Calibri"/>
          <w:b/>
          <w:bCs/>
        </w:rPr>
        <w:t>B. Račun financiranja</w:t>
      </w:r>
    </w:p>
    <w:p w14:paraId="6C575386" w14:textId="77777777" w:rsidR="003C1AA8" w:rsidRDefault="003C1AA8" w:rsidP="003C1AA8">
      <w:pPr>
        <w:pStyle w:val="Bezproreda"/>
        <w:rPr>
          <w:rFonts w:cs="Calibri"/>
          <w:b/>
          <w:bCs/>
        </w:rPr>
      </w:pPr>
    </w:p>
    <w:p w14:paraId="6D2C31C4" w14:textId="77777777" w:rsidR="003C1AA8" w:rsidRDefault="003C1AA8" w:rsidP="003C1AA8">
      <w:pPr>
        <w:pStyle w:val="Bezproreda"/>
        <w:ind w:firstLine="708"/>
        <w:rPr>
          <w:rFonts w:cs="Calibri"/>
        </w:rPr>
      </w:pPr>
      <w:bookmarkStart w:id="0" w:name="_Hlk140660745"/>
      <w:r>
        <w:rPr>
          <w:rFonts w:cs="Calibri"/>
        </w:rPr>
        <w:t>Škola u izvještajnom razdoblju nije ostvarila  prihode od financijske imovine i zaduživanja te nije imala izdatke za financijski imovinu i otplate zajmova.</w:t>
      </w:r>
    </w:p>
    <w:bookmarkEnd w:id="0"/>
    <w:p w14:paraId="537E103B" w14:textId="77777777" w:rsidR="003C1AA8" w:rsidRDefault="003C1AA8" w:rsidP="003C1AA8">
      <w:pPr>
        <w:pStyle w:val="Bezproreda"/>
        <w:rPr>
          <w:rFonts w:cs="Calibri"/>
        </w:rPr>
      </w:pPr>
    </w:p>
    <w:p w14:paraId="26419428" w14:textId="77777777" w:rsidR="003C1AA8" w:rsidRDefault="003C1AA8" w:rsidP="003C1AA8">
      <w:pPr>
        <w:pStyle w:val="Bezproreda"/>
        <w:rPr>
          <w:rFonts w:cs="Calibri"/>
        </w:rPr>
      </w:pPr>
    </w:p>
    <w:p w14:paraId="01F699ED" w14:textId="77777777" w:rsidR="008B0821" w:rsidRDefault="008B0821" w:rsidP="008B0821">
      <w:pPr>
        <w:spacing w:after="0" w:line="276" w:lineRule="auto"/>
        <w:ind w:left="720"/>
        <w:rPr>
          <w:rFonts w:cs="Calibri"/>
          <w:b/>
          <w:i/>
          <w:iCs/>
          <w:sz w:val="24"/>
          <w:szCs w:val="24"/>
        </w:rPr>
      </w:pPr>
    </w:p>
    <w:p w14:paraId="665DDE50" w14:textId="77777777" w:rsidR="008B0821" w:rsidRDefault="008B0821" w:rsidP="008B0821">
      <w:pPr>
        <w:spacing w:after="0" w:line="276" w:lineRule="auto"/>
        <w:rPr>
          <w:rFonts w:cs="Calibri"/>
          <w:b/>
          <w:i/>
          <w:iCs/>
          <w:sz w:val="24"/>
          <w:szCs w:val="24"/>
        </w:rPr>
      </w:pPr>
    </w:p>
    <w:p w14:paraId="533CCB27" w14:textId="77777777" w:rsidR="008B0821" w:rsidRDefault="008B0821" w:rsidP="008B0821">
      <w:pPr>
        <w:spacing w:after="0" w:line="276" w:lineRule="auto"/>
        <w:ind w:left="360"/>
        <w:jc w:val="center"/>
        <w:rPr>
          <w:rFonts w:cs="Calibri"/>
          <w:b/>
          <w:i/>
          <w:iCs/>
          <w:sz w:val="24"/>
          <w:szCs w:val="24"/>
        </w:rPr>
      </w:pPr>
    </w:p>
    <w:p w14:paraId="6CCF1E01" w14:textId="77777777" w:rsidR="008B0821" w:rsidRDefault="008B0821" w:rsidP="008B0821">
      <w:pPr>
        <w:spacing w:after="0" w:line="276" w:lineRule="auto"/>
        <w:ind w:left="360"/>
        <w:jc w:val="center"/>
        <w:rPr>
          <w:rFonts w:cs="Calibri"/>
          <w:b/>
          <w:i/>
          <w:iCs/>
          <w:sz w:val="24"/>
          <w:szCs w:val="24"/>
        </w:rPr>
      </w:pPr>
    </w:p>
    <w:p w14:paraId="6169FFD5" w14:textId="5E4A8B4E" w:rsidR="008B0821" w:rsidRPr="008B0821" w:rsidRDefault="008B0821" w:rsidP="008B0821">
      <w:pPr>
        <w:spacing w:after="0" w:line="276" w:lineRule="auto"/>
        <w:ind w:left="360"/>
        <w:jc w:val="center"/>
        <w:rPr>
          <w:rFonts w:cs="Calibri"/>
          <w:b/>
          <w:iCs/>
          <w:sz w:val="24"/>
          <w:szCs w:val="24"/>
        </w:rPr>
      </w:pPr>
      <w:proofErr w:type="spellStart"/>
      <w:r w:rsidRPr="008B0821">
        <w:rPr>
          <w:rFonts w:cs="Calibri"/>
          <w:b/>
          <w:iCs/>
          <w:sz w:val="24"/>
          <w:szCs w:val="24"/>
        </w:rPr>
        <w:t>C.Račun</w:t>
      </w:r>
      <w:proofErr w:type="spellEnd"/>
      <w:r w:rsidRPr="008B0821">
        <w:rPr>
          <w:rFonts w:cs="Calibri"/>
          <w:b/>
          <w:iCs/>
          <w:sz w:val="24"/>
          <w:szCs w:val="24"/>
        </w:rPr>
        <w:t xml:space="preserve"> prihoda i rashoda</w:t>
      </w:r>
    </w:p>
    <w:p w14:paraId="3A887EB2" w14:textId="77777777" w:rsidR="008B0821" w:rsidRDefault="008B0821" w:rsidP="008B0821">
      <w:pPr>
        <w:spacing w:after="0"/>
        <w:rPr>
          <w:rFonts w:cs="Calibri"/>
          <w:bCs/>
        </w:rPr>
      </w:pPr>
    </w:p>
    <w:p w14:paraId="21715738" w14:textId="77777777" w:rsidR="008B0821" w:rsidRDefault="008B0821" w:rsidP="008B0821">
      <w:pPr>
        <w:spacing w:after="0" w:line="240" w:lineRule="auto"/>
        <w:ind w:firstLine="708"/>
        <w:rPr>
          <w:rFonts w:cs="Calibri"/>
          <w:bCs/>
        </w:rPr>
      </w:pPr>
      <w:r>
        <w:rPr>
          <w:rFonts w:cs="Calibri"/>
          <w:bCs/>
        </w:rPr>
        <w:t>U ovom dijelu tablice Izvještaja prikazani su ukupno ostvareni prihodi i primici, te ukupno izvršeni rashodi i izdaci prema ekonomskoj klasifikaciji na razini skupine i prema izvorima financiranja.</w:t>
      </w:r>
    </w:p>
    <w:p w14:paraId="142BD00B" w14:textId="27847023" w:rsidR="008B0821" w:rsidRDefault="008B0821" w:rsidP="008B0821">
      <w:pPr>
        <w:spacing w:after="0" w:line="240" w:lineRule="auto"/>
        <w:ind w:firstLine="708"/>
        <w:rPr>
          <w:rFonts w:eastAsia="Times New Roman" w:cs="Calibri"/>
          <w:iCs/>
        </w:rPr>
      </w:pPr>
      <w:r>
        <w:rPr>
          <w:rFonts w:eastAsia="Times New Roman" w:cs="Calibri"/>
          <w:iCs/>
        </w:rPr>
        <w:t>Škola najznačajnije prihode ostvaruje od pomoći iz državnog proračuna- skupina 63, od kojih najveći udio čine prihodi za plaće, naknade i ostala materijalna prava zaposlenika. Ova skupina</w:t>
      </w:r>
      <w:r w:rsidR="005A35BE">
        <w:rPr>
          <w:rFonts w:eastAsia="Times New Roman" w:cs="Calibri"/>
          <w:iCs/>
        </w:rPr>
        <w:t xml:space="preserve"> </w:t>
      </w:r>
      <w:r>
        <w:rPr>
          <w:rFonts w:eastAsia="Times New Roman" w:cs="Calibri"/>
          <w:iCs/>
        </w:rPr>
        <w:lastRenderedPageBreak/>
        <w:t>prihoda uvećana je i radi Odluke Vlade o sufinanciranju troškova prehrane učeni</w:t>
      </w:r>
      <w:r w:rsidR="00C051B0">
        <w:rPr>
          <w:rFonts w:eastAsia="Times New Roman" w:cs="Calibri"/>
          <w:iCs/>
        </w:rPr>
        <w:t>ka osnovnih škola</w:t>
      </w:r>
      <w:r>
        <w:rPr>
          <w:rFonts w:eastAsia="Times New Roman" w:cs="Calibri"/>
          <w:iCs/>
        </w:rPr>
        <w:t xml:space="preserve">. Ostali prihodi čine manji dio ukupnih prihoda škole. Prihod 63 Pomoći od subjekata unutar proračuna povećana su u odnosu na prošlo izvještajno razdoblje za </w:t>
      </w:r>
      <w:r w:rsidR="005868D4">
        <w:rPr>
          <w:rFonts w:eastAsia="Times New Roman" w:cs="Calibri"/>
          <w:iCs/>
        </w:rPr>
        <w:t xml:space="preserve">25,13 </w:t>
      </w:r>
      <w:r>
        <w:rPr>
          <w:rFonts w:eastAsia="Times New Roman" w:cs="Calibri"/>
          <w:iCs/>
        </w:rPr>
        <w:t>%.</w:t>
      </w:r>
    </w:p>
    <w:p w14:paraId="1D3CFDDE" w14:textId="02A610A6" w:rsidR="005868D4" w:rsidRDefault="00112D07" w:rsidP="008B0821">
      <w:pPr>
        <w:spacing w:after="0" w:line="240" w:lineRule="auto"/>
        <w:ind w:firstLine="708"/>
        <w:rPr>
          <w:rFonts w:eastAsia="Times New Roman" w:cs="Calibri"/>
          <w:iCs/>
        </w:rPr>
      </w:pPr>
      <w:r>
        <w:rPr>
          <w:noProof/>
          <w:lang w:eastAsia="hr-HR"/>
        </w:rPr>
        <w:drawing>
          <wp:inline distT="0" distB="0" distL="0" distR="0" wp14:anchorId="37D95146" wp14:editId="6595A692">
            <wp:extent cx="5610225" cy="482917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F518F933-31C5-6388-96B6-A17F1166BB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E664C2" w14:textId="71B42DBB" w:rsidR="005868D4" w:rsidRDefault="005868D4" w:rsidP="008B0821">
      <w:pPr>
        <w:spacing w:after="0" w:line="240" w:lineRule="auto"/>
        <w:ind w:firstLine="708"/>
        <w:rPr>
          <w:rFonts w:eastAsia="Times New Roman" w:cs="Calibri"/>
          <w:iCs/>
        </w:rPr>
      </w:pPr>
    </w:p>
    <w:p w14:paraId="284B552C" w14:textId="77777777" w:rsidR="005868D4" w:rsidRDefault="005868D4" w:rsidP="008B0821">
      <w:pPr>
        <w:spacing w:after="0" w:line="240" w:lineRule="auto"/>
        <w:ind w:firstLine="708"/>
        <w:rPr>
          <w:rFonts w:eastAsia="Times New Roman" w:cs="Calibri"/>
          <w:iCs/>
        </w:rPr>
      </w:pPr>
    </w:p>
    <w:p w14:paraId="57127915" w14:textId="77777777" w:rsidR="00112D07" w:rsidRDefault="00112D07" w:rsidP="00112D07">
      <w:pPr>
        <w:spacing w:after="0" w:line="240" w:lineRule="auto"/>
        <w:ind w:firstLine="708"/>
        <w:rPr>
          <w:rFonts w:cs="Calibri"/>
          <w:iCs/>
        </w:rPr>
      </w:pPr>
      <w:r>
        <w:rPr>
          <w:noProof/>
          <w:lang w:eastAsia="hr-HR"/>
        </w:rPr>
        <w:lastRenderedPageBreak/>
        <w:drawing>
          <wp:inline distT="0" distB="0" distL="0" distR="0" wp14:anchorId="1D1DB122" wp14:editId="5BC74B7D">
            <wp:extent cx="5642610" cy="8892540"/>
            <wp:effectExtent l="0" t="0" r="15240" b="381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2C75113D-2892-DA9B-C7ED-288AE8B457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cs="Calibri"/>
        </w:rPr>
        <w:lastRenderedPageBreak/>
        <w:t>U strukturi ukupno ostvarenih rashoda i izdataka najveći udio čine rashodi za zaposlene te je zbog povećanja osnovice za plaće i drugih materijalnih prava zaposlenika dolazi i do većeg povećanja rashoda.</w:t>
      </w:r>
      <w:r>
        <w:rPr>
          <w:rFonts w:cs="Calibri"/>
          <w:iCs/>
        </w:rPr>
        <w:t xml:space="preserve"> Rashodi za zaposlene-skupina 31 povećali su se u odnosu na prošlu godinu za 11,86 %.</w:t>
      </w:r>
    </w:p>
    <w:p w14:paraId="3F7139A4" w14:textId="76B74A09" w:rsidR="006123AF" w:rsidRDefault="00112D07" w:rsidP="00112D07">
      <w:pPr>
        <w:tabs>
          <w:tab w:val="left" w:pos="5595"/>
        </w:tabs>
        <w:rPr>
          <w:rFonts w:cs="Calibri"/>
          <w:iCs/>
        </w:rPr>
      </w:pPr>
      <w:r>
        <w:rPr>
          <w:rFonts w:cs="Calibri"/>
          <w:iCs/>
        </w:rPr>
        <w:t>Materijalni rashodi-skupina 32, izvor Pomoći-5.K. značajno su povećani u odnosu na prethodnu godinu za 184,41 % i u odnosu na tekući plan za 53,40 % radi gore navedene Odluke Vlade RH. Financijski rashodi-skupina 34 također su značajno povećani u odnosu na prethodnu godinu i u odnosu na tekući plan radi isplata zatezn</w:t>
      </w:r>
      <w:r w:rsidR="005A35BE">
        <w:rPr>
          <w:rFonts w:cs="Calibri"/>
          <w:iCs/>
        </w:rPr>
        <w:t>ih kamata.</w:t>
      </w:r>
      <w:r w:rsidR="005868D4">
        <w:rPr>
          <w:noProof/>
          <w:lang w:eastAsia="hr-HR"/>
        </w:rPr>
        <w:drawing>
          <wp:inline distT="0" distB="0" distL="0" distR="0" wp14:anchorId="7A299818" wp14:editId="1AE68F8B">
            <wp:extent cx="5610225" cy="4829175"/>
            <wp:effectExtent l="0" t="0" r="9525" b="952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F518F933-31C5-6388-96B6-A17F1166BB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4ACBF70" w14:textId="77777777" w:rsidR="00F6268A" w:rsidRPr="00EF6DC3" w:rsidRDefault="00F6268A" w:rsidP="00F6268A">
      <w:pPr>
        <w:spacing w:after="0"/>
        <w:ind w:left="720"/>
        <w:jc w:val="center"/>
        <w:rPr>
          <w:rFonts w:eastAsia="Times New Roman" w:cs="Calibri"/>
          <w:b/>
          <w:i/>
          <w:iCs/>
          <w:sz w:val="24"/>
          <w:szCs w:val="24"/>
          <w:lang w:eastAsia="hr-HR"/>
        </w:rPr>
      </w:pPr>
      <w:r>
        <w:rPr>
          <w:rFonts w:eastAsia="Times New Roman" w:cs="Calibri"/>
          <w:b/>
          <w:i/>
          <w:iCs/>
          <w:sz w:val="24"/>
          <w:szCs w:val="24"/>
          <w:lang w:eastAsia="hr-HR"/>
        </w:rPr>
        <w:t>R</w:t>
      </w:r>
      <w:r w:rsidRPr="00EF6DC3">
        <w:rPr>
          <w:rFonts w:eastAsia="Times New Roman" w:cs="Calibri"/>
          <w:b/>
          <w:i/>
          <w:iCs/>
          <w:sz w:val="24"/>
          <w:szCs w:val="24"/>
          <w:lang w:eastAsia="hr-HR"/>
        </w:rPr>
        <w:t>ashodi  prema funkcijskoj klasifikaciji</w:t>
      </w:r>
    </w:p>
    <w:p w14:paraId="4238DAD2" w14:textId="77777777" w:rsidR="00F6268A" w:rsidRDefault="00F6268A" w:rsidP="00F6268A">
      <w:pPr>
        <w:spacing w:after="0"/>
        <w:ind w:left="360"/>
        <w:rPr>
          <w:rFonts w:eastAsia="Times New Roman" w:cs="Calibri"/>
          <w:b/>
          <w:lang w:eastAsia="hr-HR"/>
        </w:rPr>
      </w:pPr>
    </w:p>
    <w:p w14:paraId="1A2F7E70" w14:textId="170608D2" w:rsidR="00F6268A" w:rsidRDefault="00F6268A" w:rsidP="00F6268A">
      <w:pPr>
        <w:spacing w:after="0" w:line="240" w:lineRule="auto"/>
        <w:ind w:firstLine="708"/>
        <w:rPr>
          <w:rFonts w:eastAsia="Times New Roman" w:cs="Calibri"/>
        </w:rPr>
      </w:pPr>
      <w:r>
        <w:rPr>
          <w:rFonts w:eastAsia="Times New Roman" w:cs="Calibri"/>
        </w:rPr>
        <w:t xml:space="preserve">Rashodi prema funkcijskoj klasifikaciji čine 09 Obrazovanje. Povećani su u odnosu na prošlu godinu za 18,93%, a izvršeno je 45,52% </w:t>
      </w:r>
      <w:r w:rsidR="005A35BE">
        <w:rPr>
          <w:rFonts w:eastAsia="Times New Roman" w:cs="Calibri"/>
        </w:rPr>
        <w:t>rashoda u odnosu na plan za 2025</w:t>
      </w:r>
      <w:r>
        <w:rPr>
          <w:rFonts w:eastAsia="Times New Roman" w:cs="Calibri"/>
        </w:rPr>
        <w:t>. godinu.</w:t>
      </w:r>
      <w:bookmarkStart w:id="1" w:name="_GoBack"/>
      <w:bookmarkEnd w:id="1"/>
    </w:p>
    <w:p w14:paraId="032DF215" w14:textId="3616B0EA" w:rsidR="00F6268A" w:rsidRDefault="00F6268A" w:rsidP="00112D07">
      <w:pPr>
        <w:tabs>
          <w:tab w:val="left" w:pos="5595"/>
        </w:tabs>
      </w:pPr>
      <w:r>
        <w:rPr>
          <w:noProof/>
          <w:lang w:eastAsia="hr-HR"/>
        </w:rPr>
        <w:lastRenderedPageBreak/>
        <w:drawing>
          <wp:inline distT="0" distB="0" distL="0" distR="0" wp14:anchorId="56DF5D8F" wp14:editId="0D740415">
            <wp:extent cx="4572000" cy="2743200"/>
            <wp:effectExtent l="0" t="0" r="0" b="0"/>
            <wp:docPr id="7" name="Grafikon 7">
              <a:extLst xmlns:a="http://schemas.openxmlformats.org/drawingml/2006/main">
                <a:ext uri="{FF2B5EF4-FFF2-40B4-BE49-F238E27FC236}">
                  <a16:creationId xmlns:a16="http://schemas.microsoft.com/office/drawing/2014/main" id="{D5D2466F-3717-D367-2628-18AB69869C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F8DDB26" w14:textId="201D07FD" w:rsidR="0055154C" w:rsidRDefault="0055154C" w:rsidP="00112D07">
      <w:pPr>
        <w:tabs>
          <w:tab w:val="left" w:pos="5595"/>
        </w:tabs>
      </w:pPr>
    </w:p>
    <w:p w14:paraId="36C65C1C" w14:textId="77777777" w:rsidR="0055154C" w:rsidRPr="00EF6DC3" w:rsidRDefault="0055154C" w:rsidP="0055154C">
      <w:pPr>
        <w:spacing w:after="0"/>
        <w:ind w:left="720"/>
        <w:jc w:val="center"/>
        <w:rPr>
          <w:rFonts w:eastAsia="Times New Roman" w:cs="Calibri"/>
          <w:b/>
          <w:i/>
          <w:iCs/>
          <w:sz w:val="24"/>
          <w:szCs w:val="24"/>
          <w:lang w:eastAsia="hr-HR"/>
        </w:rPr>
      </w:pPr>
      <w:r w:rsidRPr="00EF6DC3">
        <w:rPr>
          <w:rFonts w:eastAsia="Times New Roman" w:cs="Calibri"/>
          <w:b/>
          <w:i/>
          <w:iCs/>
          <w:sz w:val="24"/>
          <w:szCs w:val="24"/>
          <w:lang w:eastAsia="hr-HR"/>
        </w:rPr>
        <w:t>Račun financiranja</w:t>
      </w:r>
    </w:p>
    <w:p w14:paraId="72C863ED" w14:textId="77777777" w:rsidR="0055154C" w:rsidRDefault="0055154C" w:rsidP="0055154C">
      <w:pPr>
        <w:spacing w:after="0"/>
        <w:ind w:left="720"/>
        <w:rPr>
          <w:rFonts w:eastAsia="Times New Roman" w:cs="Calibri"/>
          <w:b/>
          <w:lang w:eastAsia="hr-HR"/>
        </w:rPr>
      </w:pPr>
    </w:p>
    <w:p w14:paraId="0CAE7F6D" w14:textId="77777777" w:rsidR="0055154C" w:rsidRPr="00901680" w:rsidRDefault="0055154C" w:rsidP="0055154C">
      <w:pPr>
        <w:pStyle w:val="Bezproreda"/>
        <w:ind w:firstLine="708"/>
        <w:rPr>
          <w:rFonts w:cs="Calibri"/>
        </w:rPr>
      </w:pPr>
      <w:r w:rsidRPr="00901680">
        <w:rPr>
          <w:rFonts w:cs="Calibri"/>
        </w:rPr>
        <w:t>Škola u izvještajnom razdoblju nije ostvarila  prihode od financijske imovine i zaduživanja te nije imala izdatke za financijski imovinu i otplate zajmova.</w:t>
      </w:r>
    </w:p>
    <w:p w14:paraId="1D5B23AF" w14:textId="77777777" w:rsidR="0055154C" w:rsidRDefault="0055154C" w:rsidP="0055154C">
      <w:pPr>
        <w:spacing w:after="0"/>
        <w:rPr>
          <w:rFonts w:cs="Calibri"/>
          <w:b/>
        </w:rPr>
      </w:pPr>
    </w:p>
    <w:p w14:paraId="14C83DD1" w14:textId="4C74B50F" w:rsidR="0055154C" w:rsidRDefault="0055154C" w:rsidP="00112D07">
      <w:pPr>
        <w:tabs>
          <w:tab w:val="left" w:pos="5595"/>
        </w:tabs>
      </w:pPr>
    </w:p>
    <w:p w14:paraId="3452DB0A" w14:textId="69A9D942" w:rsidR="0055154C" w:rsidRDefault="0055154C" w:rsidP="00112D07">
      <w:pPr>
        <w:tabs>
          <w:tab w:val="left" w:pos="5595"/>
        </w:tabs>
      </w:pPr>
    </w:p>
    <w:p w14:paraId="3400B5E2" w14:textId="1A4E7113" w:rsidR="0055154C" w:rsidRDefault="0055154C" w:rsidP="00112D07">
      <w:pPr>
        <w:tabs>
          <w:tab w:val="left" w:pos="5595"/>
        </w:tabs>
      </w:pPr>
    </w:p>
    <w:p w14:paraId="4E54B4CD" w14:textId="22A90094" w:rsidR="0055154C" w:rsidRDefault="0055154C" w:rsidP="00112D07">
      <w:pPr>
        <w:tabs>
          <w:tab w:val="left" w:pos="5595"/>
        </w:tabs>
      </w:pPr>
    </w:p>
    <w:p w14:paraId="4887FB04" w14:textId="23B5ACB6" w:rsidR="0055154C" w:rsidRDefault="0055154C" w:rsidP="00112D07">
      <w:pPr>
        <w:tabs>
          <w:tab w:val="left" w:pos="5595"/>
        </w:tabs>
      </w:pPr>
    </w:p>
    <w:p w14:paraId="0BAF76F2" w14:textId="6572D790" w:rsidR="0055154C" w:rsidRDefault="0055154C" w:rsidP="00112D07">
      <w:pPr>
        <w:tabs>
          <w:tab w:val="left" w:pos="5595"/>
        </w:tabs>
      </w:pPr>
    </w:p>
    <w:p w14:paraId="01C48B41" w14:textId="00431770" w:rsidR="0055154C" w:rsidRPr="006123AF" w:rsidRDefault="0055154C" w:rsidP="0055154C">
      <w:pPr>
        <w:tabs>
          <w:tab w:val="left" w:pos="5595"/>
        </w:tabs>
        <w:ind w:left="7080"/>
      </w:pPr>
      <w:r>
        <w:t xml:space="preserve">                                                                                                                                           Ravnatelj OŠ </w:t>
      </w:r>
      <w:proofErr w:type="spellStart"/>
      <w:r>
        <w:t>Rugvice:Robert</w:t>
      </w:r>
      <w:proofErr w:type="spellEnd"/>
      <w:r>
        <w:t xml:space="preserve"> </w:t>
      </w:r>
      <w:proofErr w:type="spellStart"/>
      <w:r>
        <w:t>Munđer</w:t>
      </w:r>
      <w:proofErr w:type="spellEnd"/>
      <w:r>
        <w:t xml:space="preserve"> </w:t>
      </w:r>
      <w:proofErr w:type="spellStart"/>
      <w:r>
        <w:t>mag.cin</w:t>
      </w:r>
      <w:proofErr w:type="spellEnd"/>
      <w:r>
        <w:t>.</w:t>
      </w:r>
    </w:p>
    <w:sectPr w:rsidR="0055154C" w:rsidRPr="006123AF">
      <w:headerReference w:type="default" r:id="rId17"/>
      <w:footerReference w:type="default" r:id="rId18"/>
      <w:pgSz w:w="11906" w:h="16838"/>
      <w:pgMar w:top="1417" w:right="1416" w:bottom="1417" w:left="141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BE1E0" w14:textId="77777777" w:rsidR="00037959" w:rsidRDefault="00037959">
      <w:pPr>
        <w:spacing w:line="240" w:lineRule="auto"/>
      </w:pPr>
      <w:r>
        <w:separator/>
      </w:r>
    </w:p>
  </w:endnote>
  <w:endnote w:type="continuationSeparator" w:id="0">
    <w:p w14:paraId="42857B9B" w14:textId="77777777" w:rsidR="00037959" w:rsidRDefault="00037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ED06" w14:textId="77777777" w:rsidR="00517282" w:rsidRDefault="00243A48">
    <w:pPr>
      <w:ind w:right="-851"/>
      <w:jc w:val="cen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266FB" wp14:editId="7D658A1D">
              <wp:simplePos x="0" y="0"/>
              <wp:positionH relativeFrom="margin">
                <wp:posOffset>-1483995</wp:posOffset>
              </wp:positionH>
              <wp:positionV relativeFrom="paragraph">
                <wp:posOffset>93980</wp:posOffset>
              </wp:positionV>
              <wp:extent cx="8274050" cy="0"/>
              <wp:effectExtent l="0" t="0" r="31750" b="1905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74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 xmlns:cx1="http://schemas.microsoft.com/office/drawing/2015/9/8/chartex">
          <w:pict>
            <v:line id="Ravni poveznik 3" o:spid="_x0000_s1026" o:spt="20" style="position:absolute;left:0pt;margin-left:-116.85pt;margin-top:7.4pt;height:0pt;width:651.5pt;mso-position-horizontal-relative:margin;z-index:251661312;mso-width-relative:page;mso-height-relative:page;" filled="f" stroked="t" coordsize="21600,21600" o:gfxdata="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lohPjaAAAACwEAAA8AAAAAAAAA&#10;AQAgAAAAIgAAAGRycy9kb3ducmV2LnhtbFBLAQIUABQAAAAIAIdO4kB7Hda/1gEAALADAAAOAAAA&#10;AAAAAAEAIAAAACkBAABkcnMvZTJvRG9jLnhtbFBLBQYAAAAABgAGAFkBAABxBQAA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C4E5E" w14:textId="77777777" w:rsidR="00037959" w:rsidRDefault="00037959">
      <w:pPr>
        <w:spacing w:after="0"/>
      </w:pPr>
      <w:r>
        <w:separator/>
      </w:r>
    </w:p>
  </w:footnote>
  <w:footnote w:type="continuationSeparator" w:id="0">
    <w:p w14:paraId="3C0E3531" w14:textId="77777777" w:rsidR="00037959" w:rsidRDefault="000379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602C3" w14:textId="4B1EF525" w:rsidR="00517282" w:rsidRDefault="00243A48">
    <w:pPr>
      <w:pStyle w:val="Zaglavlje"/>
      <w:tabs>
        <w:tab w:val="clear" w:pos="9072"/>
      </w:tabs>
      <w:ind w:right="-566"/>
      <w:jc w:val="right"/>
      <w:rPr>
        <w:rFonts w:ascii="Verdana" w:hAnsi="Verdana"/>
        <w:color w:val="0070C0"/>
        <w:sz w:val="24"/>
        <w:szCs w:val="24"/>
      </w:rPr>
    </w:pPr>
    <w:r>
      <w:rPr>
        <w:rFonts w:ascii="Verdana" w:hAnsi="Verdana"/>
        <w:noProof/>
        <w:color w:val="006185"/>
        <w:sz w:val="24"/>
        <w:szCs w:val="24"/>
        <w:lang w:eastAsia="hr-HR"/>
      </w:rPr>
      <w:drawing>
        <wp:anchor distT="0" distB="0" distL="114300" distR="114300" simplePos="0" relativeHeight="251659264" behindDoc="1" locked="0" layoutInCell="1" allowOverlap="1" wp14:anchorId="3AC99167" wp14:editId="61DBE313">
          <wp:simplePos x="0" y="0"/>
          <wp:positionH relativeFrom="column">
            <wp:posOffset>-367665</wp:posOffset>
          </wp:positionH>
          <wp:positionV relativeFrom="paragraph">
            <wp:posOffset>-111125</wp:posOffset>
          </wp:positionV>
          <wp:extent cx="714375" cy="714375"/>
          <wp:effectExtent l="0" t="0" r="9525" b="9525"/>
          <wp:wrapTight wrapText="bothSides">
            <wp:wrapPolygon edited="0">
              <wp:start x="6336" y="0"/>
              <wp:lineTo x="0" y="2880"/>
              <wp:lineTo x="0" y="14976"/>
              <wp:lineTo x="1728" y="18432"/>
              <wp:lineTo x="5760" y="21312"/>
              <wp:lineTo x="6336" y="21312"/>
              <wp:lineTo x="14976" y="21312"/>
              <wp:lineTo x="15552" y="21312"/>
              <wp:lineTo x="19584" y="18432"/>
              <wp:lineTo x="21312" y="14976"/>
              <wp:lineTo x="21312" y="2880"/>
              <wp:lineTo x="14976" y="0"/>
              <wp:lineTo x="6336" y="0"/>
            </wp:wrapPolygon>
          </wp:wrapTight>
          <wp:docPr id="34" name="Sl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lika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6185"/>
        <w:sz w:val="40"/>
        <w:szCs w:val="40"/>
      </w:rPr>
      <w:t>OSNOVNA ŠKOLA RUGVICA</w:t>
    </w:r>
    <w:r>
      <w:br/>
      <w:t xml:space="preserve">Osnovna škola </w:t>
    </w:r>
    <w:proofErr w:type="spellStart"/>
    <w:r>
      <w:t>Rugvica</w:t>
    </w:r>
    <w:proofErr w:type="spellEnd"/>
    <w:r>
      <w:t xml:space="preserve">, Posavska 2, </w:t>
    </w:r>
    <w:proofErr w:type="spellStart"/>
    <w:r>
      <w:t>Rugvica</w:t>
    </w:r>
    <w:proofErr w:type="spellEnd"/>
    <w:r>
      <w:t>, 10370 Dugo Selo</w:t>
    </w:r>
    <w:r w:rsidR="00F457C4">
      <w:t>,OIB:46613109380</w:t>
    </w:r>
    <w:r>
      <w:rPr>
        <w:rFonts w:ascii="Verdana" w:hAnsi="Verdana"/>
        <w:color w:val="0070C0"/>
        <w:sz w:val="24"/>
        <w:szCs w:val="24"/>
      </w:rPr>
      <w:br/>
    </w:r>
    <w:r>
      <w:t xml:space="preserve">Telefon: (01) 2760-059, (01) 2775-533, (01) </w:t>
    </w:r>
    <w:r w:rsidR="00F457C4">
      <w:t>2775-606</w:t>
    </w:r>
  </w:p>
  <w:p w14:paraId="6C04CBA1" w14:textId="77777777" w:rsidR="00517282" w:rsidRDefault="00243A48">
    <w:pPr>
      <w:pStyle w:val="Zaglavlje"/>
      <w:rPr>
        <w:rFonts w:ascii="Verdana" w:hAnsi="Verdana"/>
        <w:color w:val="0070C0"/>
        <w:sz w:val="24"/>
        <w:szCs w:val="24"/>
      </w:rPr>
    </w:pPr>
    <w:r>
      <w:rPr>
        <w:rFonts w:ascii="Verdana" w:hAnsi="Verdana"/>
        <w:noProof/>
        <w:color w:val="0070C0"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334C1" wp14:editId="4F2BBCAF">
              <wp:simplePos x="0" y="0"/>
              <wp:positionH relativeFrom="margin">
                <wp:align>center</wp:align>
              </wp:positionH>
              <wp:positionV relativeFrom="paragraph">
                <wp:posOffset>76200</wp:posOffset>
              </wp:positionV>
              <wp:extent cx="7648575" cy="19685"/>
              <wp:effectExtent l="0" t="0" r="28575" b="3746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8575" cy="19689"/>
                      </a:xfrm>
                      <a:prstGeom prst="line">
                        <a:avLst/>
                      </a:prstGeom>
                      <a:ln>
                        <a:solidFill>
                          <a:srgbClr val="0061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 xmlns:cx1="http://schemas.microsoft.com/office/drawing/2015/9/8/chartex">
          <w:pict>
            <v:line id="Ravni poveznik 2" o:spid="_x0000_s1026" o:spt="20" style="position:absolute;left:0pt;margin-top:6pt;height:1.55pt;width:602.25pt;mso-position-horizontal:center;mso-position-horizontal-relative:margin;z-index:251660288;mso-width-relative:page;mso-height-relative:page;" filled="f" stroked="t" coordsize="21600,21600" o:gfxdata="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JdNQvVAAAABwEAAA8AAAAAAAAA&#10;AQAgAAAAIgAAAGRycy9kb3ducmV2LnhtbFBLAQIUABQAAAAIAIdO4kBAKey42wEAALQDAAAOAAAA&#10;AAAAAAEAIAAAACQBAABkcnMvZTJvRG9jLnhtbFBLBQYAAAAABgAGAFkBAABxBQAAAAA=&#10;">
              <v:fill on="f" focussize="0,0"/>
              <v:stroke weight="0.5pt" color="#006185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0D16"/>
    <w:multiLevelType w:val="hybridMultilevel"/>
    <w:tmpl w:val="F5BCBED6"/>
    <w:lvl w:ilvl="0" w:tplc="72A6D4E6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8BC38EF"/>
    <w:multiLevelType w:val="hybridMultilevel"/>
    <w:tmpl w:val="7BAA9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7E3B"/>
    <w:multiLevelType w:val="hybridMultilevel"/>
    <w:tmpl w:val="C90C84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A00CD"/>
    <w:multiLevelType w:val="hybridMultilevel"/>
    <w:tmpl w:val="4D5043C0"/>
    <w:lvl w:ilvl="0" w:tplc="969205E4">
      <w:numFmt w:val="bullet"/>
      <w:lvlText w:val="-"/>
      <w:lvlJc w:val="left"/>
      <w:pPr>
        <w:ind w:left="192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4" w15:restartNumberingAfterBreak="0">
    <w:nsid w:val="7C7B41C8"/>
    <w:multiLevelType w:val="hybridMultilevel"/>
    <w:tmpl w:val="DEA267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F5"/>
    <w:rsid w:val="00003512"/>
    <w:rsid w:val="00004B3C"/>
    <w:rsid w:val="00023C2E"/>
    <w:rsid w:val="00037959"/>
    <w:rsid w:val="000660FF"/>
    <w:rsid w:val="000A3749"/>
    <w:rsid w:val="00107727"/>
    <w:rsid w:val="00112D07"/>
    <w:rsid w:val="00130310"/>
    <w:rsid w:val="00156FFC"/>
    <w:rsid w:val="001911A2"/>
    <w:rsid w:val="001A0482"/>
    <w:rsid w:val="001A2EB1"/>
    <w:rsid w:val="001A434A"/>
    <w:rsid w:val="001E6519"/>
    <w:rsid w:val="001F04A2"/>
    <w:rsid w:val="001F3659"/>
    <w:rsid w:val="001F604C"/>
    <w:rsid w:val="0021689E"/>
    <w:rsid w:val="00243880"/>
    <w:rsid w:val="00243A48"/>
    <w:rsid w:val="002A23C3"/>
    <w:rsid w:val="002A7563"/>
    <w:rsid w:val="003365D6"/>
    <w:rsid w:val="0033699D"/>
    <w:rsid w:val="003403C8"/>
    <w:rsid w:val="00354538"/>
    <w:rsid w:val="00354C42"/>
    <w:rsid w:val="003724B4"/>
    <w:rsid w:val="00392916"/>
    <w:rsid w:val="003938B3"/>
    <w:rsid w:val="003B363E"/>
    <w:rsid w:val="003C1AA8"/>
    <w:rsid w:val="003D22C7"/>
    <w:rsid w:val="004142DC"/>
    <w:rsid w:val="00431059"/>
    <w:rsid w:val="00432A94"/>
    <w:rsid w:val="00436531"/>
    <w:rsid w:val="00456EB8"/>
    <w:rsid w:val="00466301"/>
    <w:rsid w:val="00483F28"/>
    <w:rsid w:val="004E0899"/>
    <w:rsid w:val="004F1170"/>
    <w:rsid w:val="004F299E"/>
    <w:rsid w:val="00517282"/>
    <w:rsid w:val="005225F5"/>
    <w:rsid w:val="005327A9"/>
    <w:rsid w:val="00534012"/>
    <w:rsid w:val="0055154C"/>
    <w:rsid w:val="00581257"/>
    <w:rsid w:val="005868D4"/>
    <w:rsid w:val="00591BFD"/>
    <w:rsid w:val="00591C4F"/>
    <w:rsid w:val="005A2E1C"/>
    <w:rsid w:val="005A35BE"/>
    <w:rsid w:val="005D235B"/>
    <w:rsid w:val="006123AF"/>
    <w:rsid w:val="00622A50"/>
    <w:rsid w:val="00651273"/>
    <w:rsid w:val="00661DD9"/>
    <w:rsid w:val="006877DE"/>
    <w:rsid w:val="006B0075"/>
    <w:rsid w:val="006D0117"/>
    <w:rsid w:val="006D0EE6"/>
    <w:rsid w:val="00703027"/>
    <w:rsid w:val="00710D86"/>
    <w:rsid w:val="00723FA0"/>
    <w:rsid w:val="00737376"/>
    <w:rsid w:val="0077040E"/>
    <w:rsid w:val="007971F7"/>
    <w:rsid w:val="007E5A00"/>
    <w:rsid w:val="007F3530"/>
    <w:rsid w:val="00822693"/>
    <w:rsid w:val="00836016"/>
    <w:rsid w:val="00842DCF"/>
    <w:rsid w:val="00845DE6"/>
    <w:rsid w:val="008B0821"/>
    <w:rsid w:val="008F2133"/>
    <w:rsid w:val="00942CE2"/>
    <w:rsid w:val="00966521"/>
    <w:rsid w:val="00983091"/>
    <w:rsid w:val="00984222"/>
    <w:rsid w:val="009A7A93"/>
    <w:rsid w:val="009B0A94"/>
    <w:rsid w:val="009B26C2"/>
    <w:rsid w:val="009D7C04"/>
    <w:rsid w:val="00A41FD8"/>
    <w:rsid w:val="00A71F83"/>
    <w:rsid w:val="00A757EE"/>
    <w:rsid w:val="00A76D73"/>
    <w:rsid w:val="00A909BA"/>
    <w:rsid w:val="00AB5AD5"/>
    <w:rsid w:val="00AD4EF2"/>
    <w:rsid w:val="00AD574E"/>
    <w:rsid w:val="00AF2E10"/>
    <w:rsid w:val="00B01C2F"/>
    <w:rsid w:val="00B240DD"/>
    <w:rsid w:val="00B40F08"/>
    <w:rsid w:val="00B473CE"/>
    <w:rsid w:val="00B5786C"/>
    <w:rsid w:val="00BC4866"/>
    <w:rsid w:val="00BD0089"/>
    <w:rsid w:val="00C04188"/>
    <w:rsid w:val="00C051B0"/>
    <w:rsid w:val="00C169BF"/>
    <w:rsid w:val="00C82CA4"/>
    <w:rsid w:val="00C83373"/>
    <w:rsid w:val="00C92D5E"/>
    <w:rsid w:val="00CF075D"/>
    <w:rsid w:val="00CF69AA"/>
    <w:rsid w:val="00D04708"/>
    <w:rsid w:val="00D41948"/>
    <w:rsid w:val="00D55FD9"/>
    <w:rsid w:val="00D562B1"/>
    <w:rsid w:val="00DA116A"/>
    <w:rsid w:val="00DB4917"/>
    <w:rsid w:val="00DC7129"/>
    <w:rsid w:val="00DC75EA"/>
    <w:rsid w:val="00DD33A0"/>
    <w:rsid w:val="00E41177"/>
    <w:rsid w:val="00E4446D"/>
    <w:rsid w:val="00E57D4B"/>
    <w:rsid w:val="00EE110D"/>
    <w:rsid w:val="00F0071E"/>
    <w:rsid w:val="00F11950"/>
    <w:rsid w:val="00F268B0"/>
    <w:rsid w:val="00F457C4"/>
    <w:rsid w:val="00F60532"/>
    <w:rsid w:val="00F6268A"/>
    <w:rsid w:val="00FC71AF"/>
    <w:rsid w:val="00FD2AE8"/>
    <w:rsid w:val="1D1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8D4C"/>
  <w15:docId w15:val="{EF79A24F-0965-495C-96E3-71FFF0BA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sid w:val="00FD2AE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4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</a:t>
            </a:r>
            <a:r>
              <a:rPr lang="hr-HR"/>
              <a:t>ažetak računa prihoda i rashoda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SAŽETAK!$F$7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SAŽETAK!$A$8:$E$15</c:f>
              <c:strCache>
                <c:ptCount val="7"/>
                <c:pt idx="0">
                  <c:v>PRIHODI UKUPNO</c:v>
                </c:pt>
                <c:pt idx="1">
                  <c:v>PRIHODI POSLOVANJA</c:v>
                </c:pt>
                <c:pt idx="2">
                  <c:v>PRIHODI OD PRODAJE NEFINANCIJSKE IMOVINE</c:v>
                </c:pt>
                <c:pt idx="3">
                  <c:v>RASHODI UKUPNO</c:v>
                </c:pt>
                <c:pt idx="4">
                  <c:v>RASHODI  POSLOVANJA</c:v>
                </c:pt>
                <c:pt idx="5">
                  <c:v>RASHODI ZA NABAVU NEFINANCIJSKE IMOVINE</c:v>
                </c:pt>
                <c:pt idx="6">
                  <c:v>RAZLIKA - VIŠAK / MANJAK</c:v>
                </c:pt>
              </c:strCache>
            </c:strRef>
          </c:cat>
          <c:val>
            <c:numRef>
              <c:f>SAŽETAK!$F$8:$F$15</c:f>
            </c:numRef>
          </c:val>
          <c:extLst>
            <c:ext xmlns:c16="http://schemas.microsoft.com/office/drawing/2014/chart" uri="{C3380CC4-5D6E-409C-BE32-E72D297353CC}">
              <c16:uniqueId val="{00000000-1B81-4893-B3A1-F0387A4A4A59}"/>
            </c:ext>
          </c:extLst>
        </c:ser>
        <c:ser>
          <c:idx val="1"/>
          <c:order val="1"/>
          <c:tx>
            <c:strRef>
              <c:f>SAŽETAK!$G$7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SAŽETAK!$A$8:$E$15</c:f>
              <c:strCache>
                <c:ptCount val="7"/>
                <c:pt idx="0">
                  <c:v>PRIHODI UKUPNO</c:v>
                </c:pt>
                <c:pt idx="1">
                  <c:v>PRIHODI POSLOVANJA</c:v>
                </c:pt>
                <c:pt idx="2">
                  <c:v>PRIHODI OD PRODAJE NEFINANCIJSKE IMOVINE</c:v>
                </c:pt>
                <c:pt idx="3">
                  <c:v>RASHODI UKUPNO</c:v>
                </c:pt>
                <c:pt idx="4">
                  <c:v>RASHODI  POSLOVANJA</c:v>
                </c:pt>
                <c:pt idx="5">
                  <c:v>RASHODI ZA NABAVU NEFINANCIJSKE IMOVINE</c:v>
                </c:pt>
                <c:pt idx="6">
                  <c:v>RAZLIKA - VIŠAK / MANJAK</c:v>
                </c:pt>
              </c:strCache>
            </c:strRef>
          </c:cat>
          <c:val>
            <c:numRef>
              <c:f>SAŽETAK!$G$8:$G$15</c:f>
              <c:numCache>
                <c:formatCode>#,##0.00</c:formatCode>
                <c:ptCount val="7"/>
                <c:pt idx="0">
                  <c:v>3180736.3</c:v>
                </c:pt>
                <c:pt idx="1">
                  <c:v>3180736.3</c:v>
                </c:pt>
                <c:pt idx="2">
                  <c:v>0</c:v>
                </c:pt>
                <c:pt idx="3">
                  <c:v>3173373.8</c:v>
                </c:pt>
                <c:pt idx="4">
                  <c:v>1900673.58</c:v>
                </c:pt>
                <c:pt idx="5">
                  <c:v>1272700.22</c:v>
                </c:pt>
                <c:pt idx="6">
                  <c:v>7362.5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81-4893-B3A1-F0387A4A4A59}"/>
            </c:ext>
          </c:extLst>
        </c:ser>
        <c:ser>
          <c:idx val="2"/>
          <c:order val="2"/>
          <c:tx>
            <c:strRef>
              <c:f>SAŽETAK!$H$7</c:f>
              <c:strCache>
                <c:ptCount val="1"/>
                <c:pt idx="0">
                  <c:v>Plan tekuće godine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SAŽETAK!$A$8:$E$15</c:f>
              <c:strCache>
                <c:ptCount val="7"/>
                <c:pt idx="0">
                  <c:v>PRIHODI UKUPNO</c:v>
                </c:pt>
                <c:pt idx="1">
                  <c:v>PRIHODI POSLOVANJA</c:v>
                </c:pt>
                <c:pt idx="2">
                  <c:v>PRIHODI OD PRODAJE NEFINANCIJSKE IMOVINE</c:v>
                </c:pt>
                <c:pt idx="3">
                  <c:v>RASHODI UKUPNO</c:v>
                </c:pt>
                <c:pt idx="4">
                  <c:v>RASHODI  POSLOVANJA</c:v>
                </c:pt>
                <c:pt idx="5">
                  <c:v>RASHODI ZA NABAVU NEFINANCIJSKE IMOVINE</c:v>
                </c:pt>
                <c:pt idx="6">
                  <c:v>RAZLIKA - VIŠAK / MANJAK</c:v>
                </c:pt>
              </c:strCache>
            </c:strRef>
          </c:cat>
          <c:val>
            <c:numRef>
              <c:f>SAŽETAK!$H$8:$H$15</c:f>
            </c:numRef>
          </c:val>
          <c:extLst>
            <c:ext xmlns:c16="http://schemas.microsoft.com/office/drawing/2014/chart" uri="{C3380CC4-5D6E-409C-BE32-E72D297353CC}">
              <c16:uniqueId val="{00000002-1B81-4893-B3A1-F0387A4A4A59}"/>
            </c:ext>
          </c:extLst>
        </c:ser>
        <c:ser>
          <c:idx val="3"/>
          <c:order val="3"/>
          <c:tx>
            <c:strRef>
              <c:f>SAŽETAK!$I$7</c:f>
              <c:strCache>
                <c:ptCount val="1"/>
                <c:pt idx="0">
                  <c:v>Plan tekuće godine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SAŽETAK!$A$8:$E$15</c:f>
              <c:strCache>
                <c:ptCount val="7"/>
                <c:pt idx="0">
                  <c:v>PRIHODI UKUPNO</c:v>
                </c:pt>
                <c:pt idx="1">
                  <c:v>PRIHODI POSLOVANJA</c:v>
                </c:pt>
                <c:pt idx="2">
                  <c:v>PRIHODI OD PRODAJE NEFINANCIJSKE IMOVINE</c:v>
                </c:pt>
                <c:pt idx="3">
                  <c:v>RASHODI UKUPNO</c:v>
                </c:pt>
                <c:pt idx="4">
                  <c:v>RASHODI  POSLOVANJA</c:v>
                </c:pt>
                <c:pt idx="5">
                  <c:v>RASHODI ZA NABAVU NEFINANCIJSKE IMOVINE</c:v>
                </c:pt>
                <c:pt idx="6">
                  <c:v>RAZLIKA - VIŠAK / MANJAK</c:v>
                </c:pt>
              </c:strCache>
            </c:strRef>
          </c:cat>
          <c:val>
            <c:numRef>
              <c:f>SAŽETAK!$I$8:$I$15</c:f>
              <c:numCache>
                <c:formatCode>#,##0.00</c:formatCode>
                <c:ptCount val="7"/>
                <c:pt idx="0">
                  <c:v>3316938.62</c:v>
                </c:pt>
                <c:pt idx="1">
                  <c:v>3316938.62</c:v>
                </c:pt>
                <c:pt idx="2">
                  <c:v>0</c:v>
                </c:pt>
                <c:pt idx="3">
                  <c:v>3316938.62</c:v>
                </c:pt>
                <c:pt idx="4">
                  <c:v>1841513.32</c:v>
                </c:pt>
                <c:pt idx="5">
                  <c:v>1475425.3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81-4893-B3A1-F0387A4A4A59}"/>
            </c:ext>
          </c:extLst>
        </c:ser>
        <c:ser>
          <c:idx val="4"/>
          <c:order val="4"/>
          <c:tx>
            <c:strRef>
              <c:f>SAŽETAK!$J$7</c:f>
              <c:strCache>
                <c:ptCount val="1"/>
                <c:pt idx="0">
                  <c:v>Izvršenje 01.01.-31.12.2025.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SAŽETAK!$A$8:$E$15</c:f>
              <c:strCache>
                <c:ptCount val="7"/>
                <c:pt idx="0">
                  <c:v>PRIHODI UKUPNO</c:v>
                </c:pt>
                <c:pt idx="1">
                  <c:v>PRIHODI POSLOVANJA</c:v>
                </c:pt>
                <c:pt idx="2">
                  <c:v>PRIHODI OD PRODAJE NEFINANCIJSKE IMOVINE</c:v>
                </c:pt>
                <c:pt idx="3">
                  <c:v>RASHODI UKUPNO</c:v>
                </c:pt>
                <c:pt idx="4">
                  <c:v>RASHODI  POSLOVANJA</c:v>
                </c:pt>
                <c:pt idx="5">
                  <c:v>RASHODI ZA NABAVU NEFINANCIJSKE IMOVINE</c:v>
                </c:pt>
                <c:pt idx="6">
                  <c:v>RAZLIKA - VIŠAK / MANJAK</c:v>
                </c:pt>
              </c:strCache>
            </c:strRef>
          </c:cat>
          <c:val>
            <c:numRef>
              <c:f>SAŽETAK!$J$8:$J$15</c:f>
              <c:numCache>
                <c:formatCode>#,##0.00</c:formatCode>
                <c:ptCount val="7"/>
                <c:pt idx="0">
                  <c:v>1039158.47</c:v>
                </c:pt>
                <c:pt idx="1">
                  <c:v>1039158.47</c:v>
                </c:pt>
                <c:pt idx="2">
                  <c:v>0</c:v>
                </c:pt>
                <c:pt idx="3">
                  <c:v>1040352.29</c:v>
                </c:pt>
                <c:pt idx="4">
                  <c:v>1034285.04</c:v>
                </c:pt>
                <c:pt idx="5">
                  <c:v>6067.25</c:v>
                </c:pt>
                <c:pt idx="6">
                  <c:v>-1193.8200000000652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81-4893-B3A1-F0387A4A4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2972640"/>
        <c:axId val="662973000"/>
      </c:barChart>
      <c:catAx>
        <c:axId val="66297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62973000"/>
        <c:crosses val="autoZero"/>
        <c:auto val="1"/>
        <c:lblAlgn val="ctr"/>
        <c:lblOffset val="100"/>
        <c:noMultiLvlLbl val="0"/>
      </c:catAx>
      <c:valAx>
        <c:axId val="662973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6297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prema ekonomskoj klasifikaciji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Račun prihoda i rashoda'!$E$9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rashoda'!$E$10:$E$25</c:f>
            </c:numRef>
          </c:val>
          <c:extLst>
            <c:ext xmlns:c16="http://schemas.microsoft.com/office/drawing/2014/chart" uri="{C3380CC4-5D6E-409C-BE32-E72D297353CC}">
              <c16:uniqueId val="{00000000-BC8A-4CFA-B9E3-D6675AA4E395}"/>
            </c:ext>
          </c:extLst>
        </c:ser>
        <c:ser>
          <c:idx val="1"/>
          <c:order val="1"/>
          <c:tx>
            <c:strRef>
              <c:f>' Račun prihoda i rashoda'!$F$9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rashoda'!$F$10:$F$25</c:f>
              <c:numCache>
                <c:formatCode>#,##0.00</c:formatCode>
                <c:ptCount val="16"/>
                <c:pt idx="0" formatCode="General">
                  <c:v>2</c:v>
                </c:pt>
                <c:pt idx="1">
                  <c:v>3180736.3</c:v>
                </c:pt>
                <c:pt idx="2">
                  <c:v>1591290.89</c:v>
                </c:pt>
                <c:pt idx="3">
                  <c:v>1591290.89</c:v>
                </c:pt>
                <c:pt idx="4">
                  <c:v>0</c:v>
                </c:pt>
                <c:pt idx="5">
                  <c:v>0.28000000000000003</c:v>
                </c:pt>
                <c:pt idx="6">
                  <c:v>0.28000000000000003</c:v>
                </c:pt>
                <c:pt idx="7">
                  <c:v>86492.36</c:v>
                </c:pt>
                <c:pt idx="8">
                  <c:v>70262.600000000006</c:v>
                </c:pt>
                <c:pt idx="9">
                  <c:v>10788.12</c:v>
                </c:pt>
                <c:pt idx="10">
                  <c:v>5441.64</c:v>
                </c:pt>
                <c:pt idx="11">
                  <c:v>0</c:v>
                </c:pt>
                <c:pt idx="12">
                  <c:v>33553.65</c:v>
                </c:pt>
                <c:pt idx="13">
                  <c:v>33354.57</c:v>
                </c:pt>
                <c:pt idx="14">
                  <c:v>199.08</c:v>
                </c:pt>
                <c:pt idx="15">
                  <c:v>1469399.12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8A-4CFA-B9E3-D6675AA4E395}"/>
            </c:ext>
          </c:extLst>
        </c:ser>
        <c:ser>
          <c:idx val="2"/>
          <c:order val="2"/>
          <c:tx>
            <c:strRef>
              <c:f>' Račun prihoda i rashoda'!$G$9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rashoda'!$G$10:$G$25</c:f>
            </c:numRef>
          </c:val>
          <c:extLst>
            <c:ext xmlns:c16="http://schemas.microsoft.com/office/drawing/2014/chart" uri="{C3380CC4-5D6E-409C-BE32-E72D297353CC}">
              <c16:uniqueId val="{00000002-BC8A-4CFA-B9E3-D6675AA4E395}"/>
            </c:ext>
          </c:extLst>
        </c:ser>
        <c:ser>
          <c:idx val="3"/>
          <c:order val="3"/>
          <c:tx>
            <c:strRef>
              <c:f>' Račun prihoda i rashoda'!$H$9</c:f>
              <c:strCache>
                <c:ptCount val="1"/>
                <c:pt idx="0">
                  <c:v>Plan tekuće godine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rashoda'!$H$10:$H$25</c:f>
              <c:numCache>
                <c:formatCode>#,##0.00</c:formatCode>
                <c:ptCount val="16"/>
                <c:pt idx="0" formatCode="General">
                  <c:v>3</c:v>
                </c:pt>
                <c:pt idx="1">
                  <c:v>3316938.62</c:v>
                </c:pt>
                <c:pt idx="2">
                  <c:v>1602718.23</c:v>
                </c:pt>
                <c:pt idx="3">
                  <c:v>1602718.23</c:v>
                </c:pt>
                <c:pt idx="4">
                  <c:v>0</c:v>
                </c:pt>
                <c:pt idx="5">
                  <c:v>0.28000000000000003</c:v>
                </c:pt>
                <c:pt idx="6">
                  <c:v>0.28000000000000003</c:v>
                </c:pt>
                <c:pt idx="7">
                  <c:v>109665.60000000001</c:v>
                </c:pt>
                <c:pt idx="8">
                  <c:v>94692.42</c:v>
                </c:pt>
                <c:pt idx="9">
                  <c:v>12157.33</c:v>
                </c:pt>
                <c:pt idx="10">
                  <c:v>2815.85</c:v>
                </c:pt>
                <c:pt idx="11">
                  <c:v>0</c:v>
                </c:pt>
                <c:pt idx="12">
                  <c:v>47774.09</c:v>
                </c:pt>
                <c:pt idx="13">
                  <c:v>42613.56</c:v>
                </c:pt>
                <c:pt idx="14">
                  <c:v>5160.53</c:v>
                </c:pt>
                <c:pt idx="15">
                  <c:v>1556780.43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8A-4CFA-B9E3-D6675AA4E395}"/>
            </c:ext>
          </c:extLst>
        </c:ser>
        <c:ser>
          <c:idx val="4"/>
          <c:order val="4"/>
          <c:tx>
            <c:strRef>
              <c:f>' Račun prihoda i rashoda'!$I$9</c:f>
              <c:strCache>
                <c:ptCount val="1"/>
                <c:pt idx="0">
                  <c:v>Izvršenje 01.01.-31.12.2025.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rashoda'!$I$10:$I$25</c:f>
              <c:numCache>
                <c:formatCode>#,##0.00</c:formatCode>
                <c:ptCount val="16"/>
                <c:pt idx="0" formatCode="General">
                  <c:v>4</c:v>
                </c:pt>
                <c:pt idx="1">
                  <c:v>1039158.47</c:v>
                </c:pt>
                <c:pt idx="2">
                  <c:v>919218.12</c:v>
                </c:pt>
                <c:pt idx="3">
                  <c:v>919218.12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21848.22</c:v>
                </c:pt>
                <c:pt idx="8">
                  <c:v>21848.22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25313.78</c:v>
                </c:pt>
                <c:pt idx="13">
                  <c:v>23048.78</c:v>
                </c:pt>
                <c:pt idx="14">
                  <c:v>2265</c:v>
                </c:pt>
                <c:pt idx="15">
                  <c:v>72778.350000000006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8A-4CFA-B9E3-D6675AA4E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2984176"/>
        <c:axId val="662986696"/>
      </c:barChart>
      <c:catAx>
        <c:axId val="66298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62986696"/>
        <c:crosses val="autoZero"/>
        <c:auto val="1"/>
        <c:lblAlgn val="ctr"/>
        <c:lblOffset val="100"/>
        <c:noMultiLvlLbl val="0"/>
      </c:catAx>
      <c:valAx>
        <c:axId val="662986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6298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prema ekonomskoj</a:t>
            </a:r>
            <a:r>
              <a:rPr lang="hr-HR" baseline="0"/>
              <a:t> klasifikaciji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Račun prihoda i rashoda'!$E$35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rashoda'!$B$36:$D$72</c:f>
              <c:multiLvlStrCache>
                <c:ptCount val="37"/>
                <c:lvl>
                  <c:pt idx="0">
                    <c:v>1</c:v>
                  </c:pt>
                  <c:pt idx="1">
                    <c:v>Rashodi poslovanja</c:v>
                  </c:pt>
                  <c:pt idx="2">
                    <c:v>Rashodi za zaposlene</c:v>
                  </c:pt>
                  <c:pt idx="3">
                    <c:v>Opći prihodi i primici</c:v>
                  </c:pt>
                  <c:pt idx="4">
                    <c:v>Prihodi za posebne namjene</c:v>
                  </c:pt>
                  <c:pt idx="5">
                    <c:v>MZO-EFS III</c:v>
                  </c:pt>
                  <c:pt idx="6">
                    <c:v>Pomoći</c:v>
                  </c:pt>
                  <c:pt idx="7">
                    <c:v>Vlastiti prihodi</c:v>
                  </c:pt>
                  <c:pt idx="8">
                    <c:v>Materijalni rashodi</c:v>
                  </c:pt>
                  <c:pt idx="9">
                    <c:v>Opći prihodi i primici</c:v>
                  </c:pt>
                  <c:pt idx="10">
                    <c:v>Vlastiti prihodi</c:v>
                  </c:pt>
                  <c:pt idx="11">
                    <c:v>Decentralizirana sredstva</c:v>
                  </c:pt>
                  <c:pt idx="12">
                    <c:v>Prihodi za posebne namjene-višak prihoda</c:v>
                  </c:pt>
                  <c:pt idx="13">
                    <c:v>Prihodi za posebne namjene</c:v>
                  </c:pt>
                  <c:pt idx="14">
                    <c:v>Pomoći</c:v>
                  </c:pt>
                  <c:pt idx="15">
                    <c:v>MZO-EFS III</c:v>
                  </c:pt>
                  <c:pt idx="16">
                    <c:v>Donacije</c:v>
                  </c:pt>
                  <c:pt idx="17">
                    <c:v>Financijski rashodi</c:v>
                  </c:pt>
                  <c:pt idx="18">
                    <c:v>Decentralizirana sredstva</c:v>
                  </c:pt>
                  <c:pt idx="19">
                    <c:v>Prihodi za posebne namjene</c:v>
                  </c:pt>
                  <c:pt idx="20">
                    <c:v>Pomoći</c:v>
                  </c:pt>
                  <c:pt idx="21">
                    <c:v>Naknade građanima i kućanstvima na temelju osiguranja i druge naknade</c:v>
                  </c:pt>
                  <c:pt idx="22">
                    <c:v>Vlastiti prihodi</c:v>
                  </c:pt>
                  <c:pt idx="23">
                    <c:v>Prihodi za posebne namjene</c:v>
                  </c:pt>
                  <c:pt idx="24">
                    <c:v>Školska shema</c:v>
                  </c:pt>
                  <c:pt idx="25">
                    <c:v>Pomoći</c:v>
                  </c:pt>
                  <c:pt idx="26">
                    <c:v>Ostali rashodi</c:v>
                  </c:pt>
                  <c:pt idx="27">
                    <c:v>Pomoći</c:v>
                  </c:pt>
                  <c:pt idx="28">
                    <c:v>Rashodi za nabavu nefinancijske imovine</c:v>
                  </c:pt>
                  <c:pt idx="29">
                    <c:v>Rashodi za nabavu proizvedene dugotrajne imovine</c:v>
                  </c:pt>
                  <c:pt idx="30">
                    <c:v>Opći prihodi i primici</c:v>
                  </c:pt>
                  <c:pt idx="31">
                    <c:v>Vlastiti prihodi</c:v>
                  </c:pt>
                  <c:pt idx="32">
                    <c:v>Prihodi za posebne namjene</c:v>
                  </c:pt>
                  <c:pt idx="33">
                    <c:v>Pomoći</c:v>
                  </c:pt>
                  <c:pt idx="34">
                    <c:v>Donacije</c:v>
                  </c:pt>
                  <c:pt idx="35">
                    <c:v>Prihodi od nefin.imov.i nadok.šteta s osnov.osig.</c:v>
                  </c:pt>
                  <c:pt idx="36">
                    <c:v>Rashodi za dodatna ulaganja na nefinancijskoj imovini</c:v>
                  </c:pt>
                </c:lvl>
                <c:lvl>
                  <c:pt idx="3">
                    <c:v>1.1.</c:v>
                  </c:pt>
                  <c:pt idx="4">
                    <c:v>4.L.</c:v>
                  </c:pt>
                  <c:pt idx="5">
                    <c:v>5.T.</c:v>
                  </c:pt>
                  <c:pt idx="6">
                    <c:v>5.K.</c:v>
                  </c:pt>
                  <c:pt idx="7">
                    <c:v>3.3.</c:v>
                  </c:pt>
                  <c:pt idx="9">
                    <c:v>1.1.</c:v>
                  </c:pt>
                  <c:pt idx="10">
                    <c:v>3.3.</c:v>
                  </c:pt>
                  <c:pt idx="11">
                    <c:v>4.1.</c:v>
                  </c:pt>
                  <c:pt idx="12">
                    <c:v>4.F.</c:v>
                  </c:pt>
                  <c:pt idx="13">
                    <c:v>4.L.</c:v>
                  </c:pt>
                  <c:pt idx="14">
                    <c:v>5.K.</c:v>
                  </c:pt>
                  <c:pt idx="15">
                    <c:v>5.T.</c:v>
                  </c:pt>
                  <c:pt idx="16">
                    <c:v>6.3.</c:v>
                  </c:pt>
                  <c:pt idx="18">
                    <c:v>4.1.</c:v>
                  </c:pt>
                  <c:pt idx="19">
                    <c:v>4.L.</c:v>
                  </c:pt>
                  <c:pt idx="20">
                    <c:v>5.K.</c:v>
                  </c:pt>
                  <c:pt idx="22">
                    <c:v>3.3.</c:v>
                  </c:pt>
                  <c:pt idx="23">
                    <c:v>4.L.</c:v>
                  </c:pt>
                  <c:pt idx="24">
                    <c:v>5.Đ.</c:v>
                  </c:pt>
                  <c:pt idx="25">
                    <c:v>5.K.</c:v>
                  </c:pt>
                  <c:pt idx="27">
                    <c:v>5.K.</c:v>
                  </c:pt>
                  <c:pt idx="30">
                    <c:v>1.1.</c:v>
                  </c:pt>
                  <c:pt idx="31">
                    <c:v>3.3.</c:v>
                  </c:pt>
                  <c:pt idx="32">
                    <c:v>4.L.</c:v>
                  </c:pt>
                  <c:pt idx="33">
                    <c:v>5.K.</c:v>
                  </c:pt>
                  <c:pt idx="34">
                    <c:v>6.3.</c:v>
                  </c:pt>
                  <c:pt idx="35">
                    <c:v>7.6.</c:v>
                  </c:pt>
                </c:lvl>
                <c:lvl>
                  <c:pt idx="2">
                    <c:v>31</c:v>
                  </c:pt>
                  <c:pt idx="8">
                    <c:v>32</c:v>
                  </c:pt>
                  <c:pt idx="17">
                    <c:v>34</c:v>
                  </c:pt>
                  <c:pt idx="21">
                    <c:v>37</c:v>
                  </c:pt>
                  <c:pt idx="26">
                    <c:v>38</c:v>
                  </c:pt>
                  <c:pt idx="29">
                    <c:v>42</c:v>
                  </c:pt>
                  <c:pt idx="36">
                    <c:v>45</c:v>
                  </c:pt>
                </c:lvl>
              </c:multiLvlStrCache>
            </c:multiLvlStrRef>
          </c:cat>
          <c:val>
            <c:numRef>
              <c:f>' Račun prihoda i rashoda'!$E$36:$E$72</c:f>
            </c:numRef>
          </c:val>
          <c:extLst>
            <c:ext xmlns:c16="http://schemas.microsoft.com/office/drawing/2014/chart" uri="{C3380CC4-5D6E-409C-BE32-E72D297353CC}">
              <c16:uniqueId val="{00000000-FDB6-4C09-9F34-FD8C5BA873EE}"/>
            </c:ext>
          </c:extLst>
        </c:ser>
        <c:ser>
          <c:idx val="1"/>
          <c:order val="1"/>
          <c:tx>
            <c:strRef>
              <c:f>' Račun prihoda i rashoda'!$F$35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rashoda'!$B$36:$D$72</c:f>
              <c:multiLvlStrCache>
                <c:ptCount val="37"/>
                <c:lvl>
                  <c:pt idx="0">
                    <c:v>1</c:v>
                  </c:pt>
                  <c:pt idx="1">
                    <c:v>Rashodi poslovanja</c:v>
                  </c:pt>
                  <c:pt idx="2">
                    <c:v>Rashodi za zaposlene</c:v>
                  </c:pt>
                  <c:pt idx="3">
                    <c:v>Opći prihodi i primici</c:v>
                  </c:pt>
                  <c:pt idx="4">
                    <c:v>Prihodi za posebne namjene</c:v>
                  </c:pt>
                  <c:pt idx="5">
                    <c:v>MZO-EFS III</c:v>
                  </c:pt>
                  <c:pt idx="6">
                    <c:v>Pomoći</c:v>
                  </c:pt>
                  <c:pt idx="7">
                    <c:v>Vlastiti prihodi</c:v>
                  </c:pt>
                  <c:pt idx="8">
                    <c:v>Materijalni rashodi</c:v>
                  </c:pt>
                  <c:pt idx="9">
                    <c:v>Opći prihodi i primici</c:v>
                  </c:pt>
                  <c:pt idx="10">
                    <c:v>Vlastiti prihodi</c:v>
                  </c:pt>
                  <c:pt idx="11">
                    <c:v>Decentralizirana sredstva</c:v>
                  </c:pt>
                  <c:pt idx="12">
                    <c:v>Prihodi za posebne namjene-višak prihoda</c:v>
                  </c:pt>
                  <c:pt idx="13">
                    <c:v>Prihodi za posebne namjene</c:v>
                  </c:pt>
                  <c:pt idx="14">
                    <c:v>Pomoći</c:v>
                  </c:pt>
                  <c:pt idx="15">
                    <c:v>MZO-EFS III</c:v>
                  </c:pt>
                  <c:pt idx="16">
                    <c:v>Donacije</c:v>
                  </c:pt>
                  <c:pt idx="17">
                    <c:v>Financijski rashodi</c:v>
                  </c:pt>
                  <c:pt idx="18">
                    <c:v>Decentralizirana sredstva</c:v>
                  </c:pt>
                  <c:pt idx="19">
                    <c:v>Prihodi za posebne namjene</c:v>
                  </c:pt>
                  <c:pt idx="20">
                    <c:v>Pomoći</c:v>
                  </c:pt>
                  <c:pt idx="21">
                    <c:v>Naknade građanima i kućanstvima na temelju osiguranja i druge naknade</c:v>
                  </c:pt>
                  <c:pt idx="22">
                    <c:v>Vlastiti prihodi</c:v>
                  </c:pt>
                  <c:pt idx="23">
                    <c:v>Prihodi za posebne namjene</c:v>
                  </c:pt>
                  <c:pt idx="24">
                    <c:v>Školska shema</c:v>
                  </c:pt>
                  <c:pt idx="25">
                    <c:v>Pomoći</c:v>
                  </c:pt>
                  <c:pt idx="26">
                    <c:v>Ostali rashodi</c:v>
                  </c:pt>
                  <c:pt idx="27">
                    <c:v>Pomoći</c:v>
                  </c:pt>
                  <c:pt idx="28">
                    <c:v>Rashodi za nabavu nefinancijske imovine</c:v>
                  </c:pt>
                  <c:pt idx="29">
                    <c:v>Rashodi za nabavu proizvedene dugotrajne imovine</c:v>
                  </c:pt>
                  <c:pt idx="30">
                    <c:v>Opći prihodi i primici</c:v>
                  </c:pt>
                  <c:pt idx="31">
                    <c:v>Vlastiti prihodi</c:v>
                  </c:pt>
                  <c:pt idx="32">
                    <c:v>Prihodi za posebne namjene</c:v>
                  </c:pt>
                  <c:pt idx="33">
                    <c:v>Pomoći</c:v>
                  </c:pt>
                  <c:pt idx="34">
                    <c:v>Donacije</c:v>
                  </c:pt>
                  <c:pt idx="35">
                    <c:v>Prihodi od nefin.imov.i nadok.šteta s osnov.osig.</c:v>
                  </c:pt>
                  <c:pt idx="36">
                    <c:v>Rashodi za dodatna ulaganja na nefinancijskoj imovini</c:v>
                  </c:pt>
                </c:lvl>
                <c:lvl>
                  <c:pt idx="3">
                    <c:v>1.1.</c:v>
                  </c:pt>
                  <c:pt idx="4">
                    <c:v>4.L.</c:v>
                  </c:pt>
                  <c:pt idx="5">
                    <c:v>5.T.</c:v>
                  </c:pt>
                  <c:pt idx="6">
                    <c:v>5.K.</c:v>
                  </c:pt>
                  <c:pt idx="7">
                    <c:v>3.3.</c:v>
                  </c:pt>
                  <c:pt idx="9">
                    <c:v>1.1.</c:v>
                  </c:pt>
                  <c:pt idx="10">
                    <c:v>3.3.</c:v>
                  </c:pt>
                  <c:pt idx="11">
                    <c:v>4.1.</c:v>
                  </c:pt>
                  <c:pt idx="12">
                    <c:v>4.F.</c:v>
                  </c:pt>
                  <c:pt idx="13">
                    <c:v>4.L.</c:v>
                  </c:pt>
                  <c:pt idx="14">
                    <c:v>5.K.</c:v>
                  </c:pt>
                  <c:pt idx="15">
                    <c:v>5.T.</c:v>
                  </c:pt>
                  <c:pt idx="16">
                    <c:v>6.3.</c:v>
                  </c:pt>
                  <c:pt idx="18">
                    <c:v>4.1.</c:v>
                  </c:pt>
                  <c:pt idx="19">
                    <c:v>4.L.</c:v>
                  </c:pt>
                  <c:pt idx="20">
                    <c:v>5.K.</c:v>
                  </c:pt>
                  <c:pt idx="22">
                    <c:v>3.3.</c:v>
                  </c:pt>
                  <c:pt idx="23">
                    <c:v>4.L.</c:v>
                  </c:pt>
                  <c:pt idx="24">
                    <c:v>5.Đ.</c:v>
                  </c:pt>
                  <c:pt idx="25">
                    <c:v>5.K.</c:v>
                  </c:pt>
                  <c:pt idx="27">
                    <c:v>5.K.</c:v>
                  </c:pt>
                  <c:pt idx="30">
                    <c:v>1.1.</c:v>
                  </c:pt>
                  <c:pt idx="31">
                    <c:v>3.3.</c:v>
                  </c:pt>
                  <c:pt idx="32">
                    <c:v>4.L.</c:v>
                  </c:pt>
                  <c:pt idx="33">
                    <c:v>5.K.</c:v>
                  </c:pt>
                  <c:pt idx="34">
                    <c:v>6.3.</c:v>
                  </c:pt>
                  <c:pt idx="35">
                    <c:v>7.6.</c:v>
                  </c:pt>
                </c:lvl>
                <c:lvl>
                  <c:pt idx="2">
                    <c:v>31</c:v>
                  </c:pt>
                  <c:pt idx="8">
                    <c:v>32</c:v>
                  </c:pt>
                  <c:pt idx="17">
                    <c:v>34</c:v>
                  </c:pt>
                  <c:pt idx="21">
                    <c:v>37</c:v>
                  </c:pt>
                  <c:pt idx="26">
                    <c:v>38</c:v>
                  </c:pt>
                  <c:pt idx="29">
                    <c:v>42</c:v>
                  </c:pt>
                  <c:pt idx="36">
                    <c:v>45</c:v>
                  </c:pt>
                </c:lvl>
              </c:multiLvlStrCache>
            </c:multiLvlStrRef>
          </c:cat>
          <c:val>
            <c:numRef>
              <c:f>' Račun prihoda i rashoda'!$F$36:$F$72</c:f>
              <c:numCache>
                <c:formatCode>#,##0.00</c:formatCode>
                <c:ptCount val="37"/>
                <c:pt idx="0" formatCode="General">
                  <c:v>2</c:v>
                </c:pt>
                <c:pt idx="1">
                  <c:v>3173373.81</c:v>
                </c:pt>
                <c:pt idx="2">
                  <c:v>1419471.39</c:v>
                </c:pt>
                <c:pt idx="3">
                  <c:v>4897.1899999999996</c:v>
                </c:pt>
                <c:pt idx="4">
                  <c:v>6970.25</c:v>
                </c:pt>
                <c:pt idx="5">
                  <c:v>27750.69</c:v>
                </c:pt>
                <c:pt idx="6">
                  <c:v>1375732.64</c:v>
                </c:pt>
                <c:pt idx="7">
                  <c:v>4120.62</c:v>
                </c:pt>
                <c:pt idx="8">
                  <c:v>440148.49</c:v>
                </c:pt>
                <c:pt idx="9">
                  <c:v>129312.16</c:v>
                </c:pt>
                <c:pt idx="10">
                  <c:v>21324.63</c:v>
                </c:pt>
                <c:pt idx="11">
                  <c:v>77671.87</c:v>
                </c:pt>
                <c:pt idx="12">
                  <c:v>0</c:v>
                </c:pt>
                <c:pt idx="13">
                  <c:v>62798.57</c:v>
                </c:pt>
                <c:pt idx="14">
                  <c:v>144601.32</c:v>
                </c:pt>
                <c:pt idx="15">
                  <c:v>3425.02</c:v>
                </c:pt>
                <c:pt idx="16">
                  <c:v>1014.92</c:v>
                </c:pt>
                <c:pt idx="17">
                  <c:v>796.34</c:v>
                </c:pt>
                <c:pt idx="18">
                  <c:v>796.34</c:v>
                </c:pt>
                <c:pt idx="19">
                  <c:v>0</c:v>
                </c:pt>
                <c:pt idx="20">
                  <c:v>0</c:v>
                </c:pt>
                <c:pt idx="21">
                  <c:v>40257.370000000003</c:v>
                </c:pt>
                <c:pt idx="22">
                  <c:v>0</c:v>
                </c:pt>
                <c:pt idx="23">
                  <c:v>0</c:v>
                </c:pt>
                <c:pt idx="24">
                  <c:v>290.26</c:v>
                </c:pt>
                <c:pt idx="25">
                  <c:v>39967.11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123094.97</c:v>
                </c:pt>
                <c:pt idx="30">
                  <c:v>75650.34</c:v>
                </c:pt>
                <c:pt idx="31">
                  <c:v>2261.35</c:v>
                </c:pt>
                <c:pt idx="32">
                  <c:v>0</c:v>
                </c:pt>
                <c:pt idx="33">
                  <c:v>45183.28</c:v>
                </c:pt>
                <c:pt idx="34">
                  <c:v>0</c:v>
                </c:pt>
                <c:pt idx="35">
                  <c:v>0</c:v>
                </c:pt>
                <c:pt idx="36">
                  <c:v>1149605.25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B6-4C09-9F34-FD8C5BA873EE}"/>
            </c:ext>
          </c:extLst>
        </c:ser>
        <c:ser>
          <c:idx val="2"/>
          <c:order val="2"/>
          <c:tx>
            <c:strRef>
              <c:f>' Račun prihoda i rashoda'!$G$35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rashoda'!$B$36:$D$72</c:f>
              <c:multiLvlStrCache>
                <c:ptCount val="37"/>
                <c:lvl>
                  <c:pt idx="0">
                    <c:v>1</c:v>
                  </c:pt>
                  <c:pt idx="1">
                    <c:v>Rashodi poslovanja</c:v>
                  </c:pt>
                  <c:pt idx="2">
                    <c:v>Rashodi za zaposlene</c:v>
                  </c:pt>
                  <c:pt idx="3">
                    <c:v>Opći prihodi i primici</c:v>
                  </c:pt>
                  <c:pt idx="4">
                    <c:v>Prihodi za posebne namjene</c:v>
                  </c:pt>
                  <c:pt idx="5">
                    <c:v>MZO-EFS III</c:v>
                  </c:pt>
                  <c:pt idx="6">
                    <c:v>Pomoći</c:v>
                  </c:pt>
                  <c:pt idx="7">
                    <c:v>Vlastiti prihodi</c:v>
                  </c:pt>
                  <c:pt idx="8">
                    <c:v>Materijalni rashodi</c:v>
                  </c:pt>
                  <c:pt idx="9">
                    <c:v>Opći prihodi i primici</c:v>
                  </c:pt>
                  <c:pt idx="10">
                    <c:v>Vlastiti prihodi</c:v>
                  </c:pt>
                  <c:pt idx="11">
                    <c:v>Decentralizirana sredstva</c:v>
                  </c:pt>
                  <c:pt idx="12">
                    <c:v>Prihodi za posebne namjene-višak prihoda</c:v>
                  </c:pt>
                  <c:pt idx="13">
                    <c:v>Prihodi za posebne namjene</c:v>
                  </c:pt>
                  <c:pt idx="14">
                    <c:v>Pomoći</c:v>
                  </c:pt>
                  <c:pt idx="15">
                    <c:v>MZO-EFS III</c:v>
                  </c:pt>
                  <c:pt idx="16">
                    <c:v>Donacije</c:v>
                  </c:pt>
                  <c:pt idx="17">
                    <c:v>Financijski rashodi</c:v>
                  </c:pt>
                  <c:pt idx="18">
                    <c:v>Decentralizirana sredstva</c:v>
                  </c:pt>
                  <c:pt idx="19">
                    <c:v>Prihodi za posebne namjene</c:v>
                  </c:pt>
                  <c:pt idx="20">
                    <c:v>Pomoći</c:v>
                  </c:pt>
                  <c:pt idx="21">
                    <c:v>Naknade građanima i kućanstvima na temelju osiguranja i druge naknade</c:v>
                  </c:pt>
                  <c:pt idx="22">
                    <c:v>Vlastiti prihodi</c:v>
                  </c:pt>
                  <c:pt idx="23">
                    <c:v>Prihodi za posebne namjene</c:v>
                  </c:pt>
                  <c:pt idx="24">
                    <c:v>Školska shema</c:v>
                  </c:pt>
                  <c:pt idx="25">
                    <c:v>Pomoći</c:v>
                  </c:pt>
                  <c:pt idx="26">
                    <c:v>Ostali rashodi</c:v>
                  </c:pt>
                  <c:pt idx="27">
                    <c:v>Pomoći</c:v>
                  </c:pt>
                  <c:pt idx="28">
                    <c:v>Rashodi za nabavu nefinancijske imovine</c:v>
                  </c:pt>
                  <c:pt idx="29">
                    <c:v>Rashodi za nabavu proizvedene dugotrajne imovine</c:v>
                  </c:pt>
                  <c:pt idx="30">
                    <c:v>Opći prihodi i primici</c:v>
                  </c:pt>
                  <c:pt idx="31">
                    <c:v>Vlastiti prihodi</c:v>
                  </c:pt>
                  <c:pt idx="32">
                    <c:v>Prihodi za posebne namjene</c:v>
                  </c:pt>
                  <c:pt idx="33">
                    <c:v>Pomoći</c:v>
                  </c:pt>
                  <c:pt idx="34">
                    <c:v>Donacije</c:v>
                  </c:pt>
                  <c:pt idx="35">
                    <c:v>Prihodi od nefin.imov.i nadok.šteta s osnov.osig.</c:v>
                  </c:pt>
                  <c:pt idx="36">
                    <c:v>Rashodi za dodatna ulaganja na nefinancijskoj imovini</c:v>
                  </c:pt>
                </c:lvl>
                <c:lvl>
                  <c:pt idx="3">
                    <c:v>1.1.</c:v>
                  </c:pt>
                  <c:pt idx="4">
                    <c:v>4.L.</c:v>
                  </c:pt>
                  <c:pt idx="5">
                    <c:v>5.T.</c:v>
                  </c:pt>
                  <c:pt idx="6">
                    <c:v>5.K.</c:v>
                  </c:pt>
                  <c:pt idx="7">
                    <c:v>3.3.</c:v>
                  </c:pt>
                  <c:pt idx="9">
                    <c:v>1.1.</c:v>
                  </c:pt>
                  <c:pt idx="10">
                    <c:v>3.3.</c:v>
                  </c:pt>
                  <c:pt idx="11">
                    <c:v>4.1.</c:v>
                  </c:pt>
                  <c:pt idx="12">
                    <c:v>4.F.</c:v>
                  </c:pt>
                  <c:pt idx="13">
                    <c:v>4.L.</c:v>
                  </c:pt>
                  <c:pt idx="14">
                    <c:v>5.K.</c:v>
                  </c:pt>
                  <c:pt idx="15">
                    <c:v>5.T.</c:v>
                  </c:pt>
                  <c:pt idx="16">
                    <c:v>6.3.</c:v>
                  </c:pt>
                  <c:pt idx="18">
                    <c:v>4.1.</c:v>
                  </c:pt>
                  <c:pt idx="19">
                    <c:v>4.L.</c:v>
                  </c:pt>
                  <c:pt idx="20">
                    <c:v>5.K.</c:v>
                  </c:pt>
                  <c:pt idx="22">
                    <c:v>3.3.</c:v>
                  </c:pt>
                  <c:pt idx="23">
                    <c:v>4.L.</c:v>
                  </c:pt>
                  <c:pt idx="24">
                    <c:v>5.Đ.</c:v>
                  </c:pt>
                  <c:pt idx="25">
                    <c:v>5.K.</c:v>
                  </c:pt>
                  <c:pt idx="27">
                    <c:v>5.K.</c:v>
                  </c:pt>
                  <c:pt idx="30">
                    <c:v>1.1.</c:v>
                  </c:pt>
                  <c:pt idx="31">
                    <c:v>3.3.</c:v>
                  </c:pt>
                  <c:pt idx="32">
                    <c:v>4.L.</c:v>
                  </c:pt>
                  <c:pt idx="33">
                    <c:v>5.K.</c:v>
                  </c:pt>
                  <c:pt idx="34">
                    <c:v>6.3.</c:v>
                  </c:pt>
                  <c:pt idx="35">
                    <c:v>7.6.</c:v>
                  </c:pt>
                </c:lvl>
                <c:lvl>
                  <c:pt idx="2">
                    <c:v>31</c:v>
                  </c:pt>
                  <c:pt idx="8">
                    <c:v>32</c:v>
                  </c:pt>
                  <c:pt idx="17">
                    <c:v>34</c:v>
                  </c:pt>
                  <c:pt idx="21">
                    <c:v>37</c:v>
                  </c:pt>
                  <c:pt idx="26">
                    <c:v>38</c:v>
                  </c:pt>
                  <c:pt idx="29">
                    <c:v>42</c:v>
                  </c:pt>
                  <c:pt idx="36">
                    <c:v>45</c:v>
                  </c:pt>
                </c:lvl>
              </c:multiLvlStrCache>
            </c:multiLvlStrRef>
          </c:cat>
          <c:val>
            <c:numRef>
              <c:f>' Račun prihoda i rashoda'!$G$36:$G$72</c:f>
            </c:numRef>
          </c:val>
          <c:extLst>
            <c:ext xmlns:c16="http://schemas.microsoft.com/office/drawing/2014/chart" uri="{C3380CC4-5D6E-409C-BE32-E72D297353CC}">
              <c16:uniqueId val="{00000002-FDB6-4C09-9F34-FD8C5BA873EE}"/>
            </c:ext>
          </c:extLst>
        </c:ser>
        <c:ser>
          <c:idx val="3"/>
          <c:order val="3"/>
          <c:tx>
            <c:strRef>
              <c:f>' Račun prihoda i rashoda'!$H$35</c:f>
              <c:strCache>
                <c:ptCount val="1"/>
                <c:pt idx="0">
                  <c:v>Plan tekuće godine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rashoda'!$B$36:$D$72</c:f>
              <c:multiLvlStrCache>
                <c:ptCount val="37"/>
                <c:lvl>
                  <c:pt idx="0">
                    <c:v>1</c:v>
                  </c:pt>
                  <c:pt idx="1">
                    <c:v>Rashodi poslovanja</c:v>
                  </c:pt>
                  <c:pt idx="2">
                    <c:v>Rashodi za zaposlene</c:v>
                  </c:pt>
                  <c:pt idx="3">
                    <c:v>Opći prihodi i primici</c:v>
                  </c:pt>
                  <c:pt idx="4">
                    <c:v>Prihodi za posebne namjene</c:v>
                  </c:pt>
                  <c:pt idx="5">
                    <c:v>MZO-EFS III</c:v>
                  </c:pt>
                  <c:pt idx="6">
                    <c:v>Pomoći</c:v>
                  </c:pt>
                  <c:pt idx="7">
                    <c:v>Vlastiti prihodi</c:v>
                  </c:pt>
                  <c:pt idx="8">
                    <c:v>Materijalni rashodi</c:v>
                  </c:pt>
                  <c:pt idx="9">
                    <c:v>Opći prihodi i primici</c:v>
                  </c:pt>
                  <c:pt idx="10">
                    <c:v>Vlastiti prihodi</c:v>
                  </c:pt>
                  <c:pt idx="11">
                    <c:v>Decentralizirana sredstva</c:v>
                  </c:pt>
                  <c:pt idx="12">
                    <c:v>Prihodi za posebne namjene-višak prihoda</c:v>
                  </c:pt>
                  <c:pt idx="13">
                    <c:v>Prihodi za posebne namjene</c:v>
                  </c:pt>
                  <c:pt idx="14">
                    <c:v>Pomoći</c:v>
                  </c:pt>
                  <c:pt idx="15">
                    <c:v>MZO-EFS III</c:v>
                  </c:pt>
                  <c:pt idx="16">
                    <c:v>Donacije</c:v>
                  </c:pt>
                  <c:pt idx="17">
                    <c:v>Financijski rashodi</c:v>
                  </c:pt>
                  <c:pt idx="18">
                    <c:v>Decentralizirana sredstva</c:v>
                  </c:pt>
                  <c:pt idx="19">
                    <c:v>Prihodi za posebne namjene</c:v>
                  </c:pt>
                  <c:pt idx="20">
                    <c:v>Pomoći</c:v>
                  </c:pt>
                  <c:pt idx="21">
                    <c:v>Naknade građanima i kućanstvima na temelju osiguranja i druge naknade</c:v>
                  </c:pt>
                  <c:pt idx="22">
                    <c:v>Vlastiti prihodi</c:v>
                  </c:pt>
                  <c:pt idx="23">
                    <c:v>Prihodi za posebne namjene</c:v>
                  </c:pt>
                  <c:pt idx="24">
                    <c:v>Školska shema</c:v>
                  </c:pt>
                  <c:pt idx="25">
                    <c:v>Pomoći</c:v>
                  </c:pt>
                  <c:pt idx="26">
                    <c:v>Ostali rashodi</c:v>
                  </c:pt>
                  <c:pt idx="27">
                    <c:v>Pomoći</c:v>
                  </c:pt>
                  <c:pt idx="28">
                    <c:v>Rashodi za nabavu nefinancijske imovine</c:v>
                  </c:pt>
                  <c:pt idx="29">
                    <c:v>Rashodi za nabavu proizvedene dugotrajne imovine</c:v>
                  </c:pt>
                  <c:pt idx="30">
                    <c:v>Opći prihodi i primici</c:v>
                  </c:pt>
                  <c:pt idx="31">
                    <c:v>Vlastiti prihodi</c:v>
                  </c:pt>
                  <c:pt idx="32">
                    <c:v>Prihodi za posebne namjene</c:v>
                  </c:pt>
                  <c:pt idx="33">
                    <c:v>Pomoći</c:v>
                  </c:pt>
                  <c:pt idx="34">
                    <c:v>Donacije</c:v>
                  </c:pt>
                  <c:pt idx="35">
                    <c:v>Prihodi od nefin.imov.i nadok.šteta s osnov.osig.</c:v>
                  </c:pt>
                  <c:pt idx="36">
                    <c:v>Rashodi za dodatna ulaganja na nefinancijskoj imovini</c:v>
                  </c:pt>
                </c:lvl>
                <c:lvl>
                  <c:pt idx="3">
                    <c:v>1.1.</c:v>
                  </c:pt>
                  <c:pt idx="4">
                    <c:v>4.L.</c:v>
                  </c:pt>
                  <c:pt idx="5">
                    <c:v>5.T.</c:v>
                  </c:pt>
                  <c:pt idx="6">
                    <c:v>5.K.</c:v>
                  </c:pt>
                  <c:pt idx="7">
                    <c:v>3.3.</c:v>
                  </c:pt>
                  <c:pt idx="9">
                    <c:v>1.1.</c:v>
                  </c:pt>
                  <c:pt idx="10">
                    <c:v>3.3.</c:v>
                  </c:pt>
                  <c:pt idx="11">
                    <c:v>4.1.</c:v>
                  </c:pt>
                  <c:pt idx="12">
                    <c:v>4.F.</c:v>
                  </c:pt>
                  <c:pt idx="13">
                    <c:v>4.L.</c:v>
                  </c:pt>
                  <c:pt idx="14">
                    <c:v>5.K.</c:v>
                  </c:pt>
                  <c:pt idx="15">
                    <c:v>5.T.</c:v>
                  </c:pt>
                  <c:pt idx="16">
                    <c:v>6.3.</c:v>
                  </c:pt>
                  <c:pt idx="18">
                    <c:v>4.1.</c:v>
                  </c:pt>
                  <c:pt idx="19">
                    <c:v>4.L.</c:v>
                  </c:pt>
                  <c:pt idx="20">
                    <c:v>5.K.</c:v>
                  </c:pt>
                  <c:pt idx="22">
                    <c:v>3.3.</c:v>
                  </c:pt>
                  <c:pt idx="23">
                    <c:v>4.L.</c:v>
                  </c:pt>
                  <c:pt idx="24">
                    <c:v>5.Đ.</c:v>
                  </c:pt>
                  <c:pt idx="25">
                    <c:v>5.K.</c:v>
                  </c:pt>
                  <c:pt idx="27">
                    <c:v>5.K.</c:v>
                  </c:pt>
                  <c:pt idx="30">
                    <c:v>1.1.</c:v>
                  </c:pt>
                  <c:pt idx="31">
                    <c:v>3.3.</c:v>
                  </c:pt>
                  <c:pt idx="32">
                    <c:v>4.L.</c:v>
                  </c:pt>
                  <c:pt idx="33">
                    <c:v>5.K.</c:v>
                  </c:pt>
                  <c:pt idx="34">
                    <c:v>6.3.</c:v>
                  </c:pt>
                  <c:pt idx="35">
                    <c:v>7.6.</c:v>
                  </c:pt>
                </c:lvl>
                <c:lvl>
                  <c:pt idx="2">
                    <c:v>31</c:v>
                  </c:pt>
                  <c:pt idx="8">
                    <c:v>32</c:v>
                  </c:pt>
                  <c:pt idx="17">
                    <c:v>34</c:v>
                  </c:pt>
                  <c:pt idx="21">
                    <c:v>37</c:v>
                  </c:pt>
                  <c:pt idx="26">
                    <c:v>38</c:v>
                  </c:pt>
                  <c:pt idx="29">
                    <c:v>42</c:v>
                  </c:pt>
                  <c:pt idx="36">
                    <c:v>45</c:v>
                  </c:pt>
                </c:lvl>
              </c:multiLvlStrCache>
            </c:multiLvlStrRef>
          </c:cat>
          <c:val>
            <c:numRef>
              <c:f>' Račun prihoda i rashoda'!$H$36:$H$72</c:f>
              <c:numCache>
                <c:formatCode>#,##0.00</c:formatCode>
                <c:ptCount val="37"/>
                <c:pt idx="0" formatCode="General">
                  <c:v>3</c:v>
                </c:pt>
                <c:pt idx="1">
                  <c:v>3316938.62</c:v>
                </c:pt>
                <c:pt idx="2">
                  <c:v>1293567.72</c:v>
                </c:pt>
                <c:pt idx="3">
                  <c:v>4742.59</c:v>
                </c:pt>
                <c:pt idx="4">
                  <c:v>5746.58</c:v>
                </c:pt>
                <c:pt idx="5">
                  <c:v>26874.7</c:v>
                </c:pt>
                <c:pt idx="6">
                  <c:v>1251690.21</c:v>
                </c:pt>
                <c:pt idx="7">
                  <c:v>4513.6400000000003</c:v>
                </c:pt>
                <c:pt idx="8">
                  <c:v>459761.08</c:v>
                </c:pt>
                <c:pt idx="9">
                  <c:v>113046.95</c:v>
                </c:pt>
                <c:pt idx="10">
                  <c:v>28401.360000000001</c:v>
                </c:pt>
                <c:pt idx="11">
                  <c:v>70504.92</c:v>
                </c:pt>
                <c:pt idx="12">
                  <c:v>0</c:v>
                </c:pt>
                <c:pt idx="13">
                  <c:v>86132.98</c:v>
                </c:pt>
                <c:pt idx="14">
                  <c:v>150510.32</c:v>
                </c:pt>
                <c:pt idx="15">
                  <c:v>5895.72</c:v>
                </c:pt>
                <c:pt idx="16">
                  <c:v>5268.83</c:v>
                </c:pt>
                <c:pt idx="17">
                  <c:v>1061.78</c:v>
                </c:pt>
                <c:pt idx="18">
                  <c:v>1061.78</c:v>
                </c:pt>
                <c:pt idx="19">
                  <c:v>0</c:v>
                </c:pt>
                <c:pt idx="20">
                  <c:v>0</c:v>
                </c:pt>
                <c:pt idx="21">
                  <c:v>87125.74</c:v>
                </c:pt>
                <c:pt idx="22">
                  <c:v>66.36</c:v>
                </c:pt>
                <c:pt idx="23">
                  <c:v>0</c:v>
                </c:pt>
                <c:pt idx="24">
                  <c:v>7425.69</c:v>
                </c:pt>
                <c:pt idx="25">
                  <c:v>79633.69</c:v>
                </c:pt>
                <c:pt idx="26">
                  <c:v>0</c:v>
                </c:pt>
                <c:pt idx="27">
                  <c:v>0</c:v>
                </c:pt>
                <c:pt idx="28">
                  <c:v>1475422.3</c:v>
                </c:pt>
                <c:pt idx="29">
                  <c:v>147530.60999999999</c:v>
                </c:pt>
                <c:pt idx="30">
                  <c:v>0</c:v>
                </c:pt>
                <c:pt idx="31">
                  <c:v>8965.8700000000008</c:v>
                </c:pt>
                <c:pt idx="32">
                  <c:v>2815.85</c:v>
                </c:pt>
                <c:pt idx="33">
                  <c:v>133041.34</c:v>
                </c:pt>
                <c:pt idx="34">
                  <c:v>2707.55</c:v>
                </c:pt>
                <c:pt idx="35">
                  <c:v>0</c:v>
                </c:pt>
                <c:pt idx="36">
                  <c:v>1327891.69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B6-4C09-9F34-FD8C5BA873EE}"/>
            </c:ext>
          </c:extLst>
        </c:ser>
        <c:ser>
          <c:idx val="4"/>
          <c:order val="4"/>
          <c:tx>
            <c:strRef>
              <c:f>' Račun prihoda i rashoda'!$I$35</c:f>
              <c:strCache>
                <c:ptCount val="1"/>
                <c:pt idx="0">
                  <c:v>Izvršenje 01.01.-30.06.2023.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rashoda'!$B$36:$D$72</c:f>
              <c:multiLvlStrCache>
                <c:ptCount val="37"/>
                <c:lvl>
                  <c:pt idx="0">
                    <c:v>1</c:v>
                  </c:pt>
                  <c:pt idx="1">
                    <c:v>Rashodi poslovanja</c:v>
                  </c:pt>
                  <c:pt idx="2">
                    <c:v>Rashodi za zaposlene</c:v>
                  </c:pt>
                  <c:pt idx="3">
                    <c:v>Opći prihodi i primici</c:v>
                  </c:pt>
                  <c:pt idx="4">
                    <c:v>Prihodi za posebne namjene</c:v>
                  </c:pt>
                  <c:pt idx="5">
                    <c:v>MZO-EFS III</c:v>
                  </c:pt>
                  <c:pt idx="6">
                    <c:v>Pomoći</c:v>
                  </c:pt>
                  <c:pt idx="7">
                    <c:v>Vlastiti prihodi</c:v>
                  </c:pt>
                  <c:pt idx="8">
                    <c:v>Materijalni rashodi</c:v>
                  </c:pt>
                  <c:pt idx="9">
                    <c:v>Opći prihodi i primici</c:v>
                  </c:pt>
                  <c:pt idx="10">
                    <c:v>Vlastiti prihodi</c:v>
                  </c:pt>
                  <c:pt idx="11">
                    <c:v>Decentralizirana sredstva</c:v>
                  </c:pt>
                  <c:pt idx="12">
                    <c:v>Prihodi za posebne namjene-višak prihoda</c:v>
                  </c:pt>
                  <c:pt idx="13">
                    <c:v>Prihodi za posebne namjene</c:v>
                  </c:pt>
                  <c:pt idx="14">
                    <c:v>Pomoći</c:v>
                  </c:pt>
                  <c:pt idx="15">
                    <c:v>MZO-EFS III</c:v>
                  </c:pt>
                  <c:pt idx="16">
                    <c:v>Donacije</c:v>
                  </c:pt>
                  <c:pt idx="17">
                    <c:v>Financijski rashodi</c:v>
                  </c:pt>
                  <c:pt idx="18">
                    <c:v>Decentralizirana sredstva</c:v>
                  </c:pt>
                  <c:pt idx="19">
                    <c:v>Prihodi za posebne namjene</c:v>
                  </c:pt>
                  <c:pt idx="20">
                    <c:v>Pomoći</c:v>
                  </c:pt>
                  <c:pt idx="21">
                    <c:v>Naknade građanima i kućanstvima na temelju osiguranja i druge naknade</c:v>
                  </c:pt>
                  <c:pt idx="22">
                    <c:v>Vlastiti prihodi</c:v>
                  </c:pt>
                  <c:pt idx="23">
                    <c:v>Prihodi za posebne namjene</c:v>
                  </c:pt>
                  <c:pt idx="24">
                    <c:v>Školska shema</c:v>
                  </c:pt>
                  <c:pt idx="25">
                    <c:v>Pomoći</c:v>
                  </c:pt>
                  <c:pt idx="26">
                    <c:v>Ostali rashodi</c:v>
                  </c:pt>
                  <c:pt idx="27">
                    <c:v>Pomoći</c:v>
                  </c:pt>
                  <c:pt idx="28">
                    <c:v>Rashodi za nabavu nefinancijske imovine</c:v>
                  </c:pt>
                  <c:pt idx="29">
                    <c:v>Rashodi za nabavu proizvedene dugotrajne imovine</c:v>
                  </c:pt>
                  <c:pt idx="30">
                    <c:v>Opći prihodi i primici</c:v>
                  </c:pt>
                  <c:pt idx="31">
                    <c:v>Vlastiti prihodi</c:v>
                  </c:pt>
                  <c:pt idx="32">
                    <c:v>Prihodi za posebne namjene</c:v>
                  </c:pt>
                  <c:pt idx="33">
                    <c:v>Pomoći</c:v>
                  </c:pt>
                  <c:pt idx="34">
                    <c:v>Donacije</c:v>
                  </c:pt>
                  <c:pt idx="35">
                    <c:v>Prihodi od nefin.imov.i nadok.šteta s osnov.osig.</c:v>
                  </c:pt>
                  <c:pt idx="36">
                    <c:v>Rashodi za dodatna ulaganja na nefinancijskoj imovini</c:v>
                  </c:pt>
                </c:lvl>
                <c:lvl>
                  <c:pt idx="3">
                    <c:v>1.1.</c:v>
                  </c:pt>
                  <c:pt idx="4">
                    <c:v>4.L.</c:v>
                  </c:pt>
                  <c:pt idx="5">
                    <c:v>5.T.</c:v>
                  </c:pt>
                  <c:pt idx="6">
                    <c:v>5.K.</c:v>
                  </c:pt>
                  <c:pt idx="7">
                    <c:v>3.3.</c:v>
                  </c:pt>
                  <c:pt idx="9">
                    <c:v>1.1.</c:v>
                  </c:pt>
                  <c:pt idx="10">
                    <c:v>3.3.</c:v>
                  </c:pt>
                  <c:pt idx="11">
                    <c:v>4.1.</c:v>
                  </c:pt>
                  <c:pt idx="12">
                    <c:v>4.F.</c:v>
                  </c:pt>
                  <c:pt idx="13">
                    <c:v>4.L.</c:v>
                  </c:pt>
                  <c:pt idx="14">
                    <c:v>5.K.</c:v>
                  </c:pt>
                  <c:pt idx="15">
                    <c:v>5.T.</c:v>
                  </c:pt>
                  <c:pt idx="16">
                    <c:v>6.3.</c:v>
                  </c:pt>
                  <c:pt idx="18">
                    <c:v>4.1.</c:v>
                  </c:pt>
                  <c:pt idx="19">
                    <c:v>4.L.</c:v>
                  </c:pt>
                  <c:pt idx="20">
                    <c:v>5.K.</c:v>
                  </c:pt>
                  <c:pt idx="22">
                    <c:v>3.3.</c:v>
                  </c:pt>
                  <c:pt idx="23">
                    <c:v>4.L.</c:v>
                  </c:pt>
                  <c:pt idx="24">
                    <c:v>5.Đ.</c:v>
                  </c:pt>
                  <c:pt idx="25">
                    <c:v>5.K.</c:v>
                  </c:pt>
                  <c:pt idx="27">
                    <c:v>5.K.</c:v>
                  </c:pt>
                  <c:pt idx="30">
                    <c:v>1.1.</c:v>
                  </c:pt>
                  <c:pt idx="31">
                    <c:v>3.3.</c:v>
                  </c:pt>
                  <c:pt idx="32">
                    <c:v>4.L.</c:v>
                  </c:pt>
                  <c:pt idx="33">
                    <c:v>5.K.</c:v>
                  </c:pt>
                  <c:pt idx="34">
                    <c:v>6.3.</c:v>
                  </c:pt>
                  <c:pt idx="35">
                    <c:v>7.6.</c:v>
                  </c:pt>
                </c:lvl>
                <c:lvl>
                  <c:pt idx="2">
                    <c:v>31</c:v>
                  </c:pt>
                  <c:pt idx="8">
                    <c:v>32</c:v>
                  </c:pt>
                  <c:pt idx="17">
                    <c:v>34</c:v>
                  </c:pt>
                  <c:pt idx="21">
                    <c:v>37</c:v>
                  </c:pt>
                  <c:pt idx="26">
                    <c:v>38</c:v>
                  </c:pt>
                  <c:pt idx="29">
                    <c:v>42</c:v>
                  </c:pt>
                  <c:pt idx="36">
                    <c:v>45</c:v>
                  </c:pt>
                </c:lvl>
              </c:multiLvlStrCache>
            </c:multiLvlStrRef>
          </c:cat>
          <c:val>
            <c:numRef>
              <c:f>' Račun prihoda i rashoda'!$I$36:$I$72</c:f>
              <c:numCache>
                <c:formatCode>#,##0.00</c:formatCode>
                <c:ptCount val="37"/>
                <c:pt idx="0" formatCode="General">
                  <c:v>4</c:v>
                </c:pt>
                <c:pt idx="1">
                  <c:v>1040352.29</c:v>
                </c:pt>
                <c:pt idx="2">
                  <c:v>788315.68</c:v>
                </c:pt>
                <c:pt idx="3">
                  <c:v>3369.32</c:v>
                </c:pt>
                <c:pt idx="4">
                  <c:v>3610.43</c:v>
                </c:pt>
                <c:pt idx="5">
                  <c:v>19092.830000000002</c:v>
                </c:pt>
                <c:pt idx="6">
                  <c:v>761148.18</c:v>
                </c:pt>
                <c:pt idx="7">
                  <c:v>1094.92</c:v>
                </c:pt>
                <c:pt idx="8">
                  <c:v>244613.09</c:v>
                </c:pt>
                <c:pt idx="9">
                  <c:v>1401.19</c:v>
                </c:pt>
                <c:pt idx="10">
                  <c:v>9224.39</c:v>
                </c:pt>
                <c:pt idx="11">
                  <c:v>41124.11</c:v>
                </c:pt>
                <c:pt idx="12">
                  <c:v>0</c:v>
                </c:pt>
                <c:pt idx="13">
                  <c:v>11725.28</c:v>
                </c:pt>
                <c:pt idx="14">
                  <c:v>177251.19</c:v>
                </c:pt>
                <c:pt idx="15">
                  <c:v>1815.24</c:v>
                </c:pt>
                <c:pt idx="16">
                  <c:v>2071.69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5">
                  <c:v>0</c:v>
                </c:pt>
                <c:pt idx="26">
                  <c:v>1356.27</c:v>
                </c:pt>
                <c:pt idx="29">
                  <c:v>91.59</c:v>
                </c:pt>
                <c:pt idx="30">
                  <c:v>0</c:v>
                </c:pt>
                <c:pt idx="31">
                  <c:v>91.59</c:v>
                </c:pt>
                <c:pt idx="32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5975.66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B6-4C09-9F34-FD8C5BA873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5152832"/>
        <c:axId val="705153192"/>
      </c:barChart>
      <c:catAx>
        <c:axId val="70515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05153192"/>
        <c:crosses val="autoZero"/>
        <c:auto val="1"/>
        <c:lblAlgn val="ctr"/>
        <c:lblOffset val="100"/>
        <c:noMultiLvlLbl val="0"/>
      </c:catAx>
      <c:valAx>
        <c:axId val="705153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0515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noFill/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prema ekonomskoj klasifikaciji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Račun prihoda i rashoda'!$E$9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rashoda'!$E$10:$E$25</c:f>
            </c:numRef>
          </c:val>
          <c:extLst>
            <c:ext xmlns:c16="http://schemas.microsoft.com/office/drawing/2014/chart" uri="{C3380CC4-5D6E-409C-BE32-E72D297353CC}">
              <c16:uniqueId val="{00000000-089B-43AE-89F3-3AF610C7871E}"/>
            </c:ext>
          </c:extLst>
        </c:ser>
        <c:ser>
          <c:idx val="1"/>
          <c:order val="1"/>
          <c:tx>
            <c:strRef>
              <c:f>' Račun prihoda i rashoda'!$F$9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rashoda'!$F$10:$F$25</c:f>
              <c:numCache>
                <c:formatCode>#,##0.00</c:formatCode>
                <c:ptCount val="16"/>
                <c:pt idx="0" formatCode="General">
                  <c:v>2</c:v>
                </c:pt>
                <c:pt idx="1">
                  <c:v>3180736.3</c:v>
                </c:pt>
                <c:pt idx="2">
                  <c:v>1591290.89</c:v>
                </c:pt>
                <c:pt idx="3">
                  <c:v>1591290.89</c:v>
                </c:pt>
                <c:pt idx="4">
                  <c:v>0</c:v>
                </c:pt>
                <c:pt idx="5">
                  <c:v>0.28000000000000003</c:v>
                </c:pt>
                <c:pt idx="6">
                  <c:v>0.28000000000000003</c:v>
                </c:pt>
                <c:pt idx="7">
                  <c:v>86492.36</c:v>
                </c:pt>
                <c:pt idx="8">
                  <c:v>70262.600000000006</c:v>
                </c:pt>
                <c:pt idx="9">
                  <c:v>10788.12</c:v>
                </c:pt>
                <c:pt idx="10">
                  <c:v>5441.64</c:v>
                </c:pt>
                <c:pt idx="11">
                  <c:v>0</c:v>
                </c:pt>
                <c:pt idx="12">
                  <c:v>33553.65</c:v>
                </c:pt>
                <c:pt idx="13">
                  <c:v>33354.57</c:v>
                </c:pt>
                <c:pt idx="14">
                  <c:v>199.08</c:v>
                </c:pt>
                <c:pt idx="15">
                  <c:v>1469399.12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9B-43AE-89F3-3AF610C7871E}"/>
            </c:ext>
          </c:extLst>
        </c:ser>
        <c:ser>
          <c:idx val="2"/>
          <c:order val="2"/>
          <c:tx>
            <c:strRef>
              <c:f>' Račun prihoda i rashoda'!$G$9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rashoda'!$G$10:$G$25</c:f>
            </c:numRef>
          </c:val>
          <c:extLst>
            <c:ext xmlns:c16="http://schemas.microsoft.com/office/drawing/2014/chart" uri="{C3380CC4-5D6E-409C-BE32-E72D297353CC}">
              <c16:uniqueId val="{00000002-089B-43AE-89F3-3AF610C7871E}"/>
            </c:ext>
          </c:extLst>
        </c:ser>
        <c:ser>
          <c:idx val="3"/>
          <c:order val="3"/>
          <c:tx>
            <c:strRef>
              <c:f>' Račun prihoda i rashoda'!$H$9</c:f>
              <c:strCache>
                <c:ptCount val="1"/>
                <c:pt idx="0">
                  <c:v>Plan tekuće godine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rashoda'!$H$10:$H$25</c:f>
              <c:numCache>
                <c:formatCode>#,##0.00</c:formatCode>
                <c:ptCount val="16"/>
                <c:pt idx="0" formatCode="General">
                  <c:v>3</c:v>
                </c:pt>
                <c:pt idx="1">
                  <c:v>3316938.62</c:v>
                </c:pt>
                <c:pt idx="2">
                  <c:v>1602718.23</c:v>
                </c:pt>
                <c:pt idx="3">
                  <c:v>1602718.23</c:v>
                </c:pt>
                <c:pt idx="4">
                  <c:v>0</c:v>
                </c:pt>
                <c:pt idx="5">
                  <c:v>0.28000000000000003</c:v>
                </c:pt>
                <c:pt idx="6">
                  <c:v>0.28000000000000003</c:v>
                </c:pt>
                <c:pt idx="7">
                  <c:v>109665.60000000001</c:v>
                </c:pt>
                <c:pt idx="8">
                  <c:v>94692.42</c:v>
                </c:pt>
                <c:pt idx="9">
                  <c:v>12157.33</c:v>
                </c:pt>
                <c:pt idx="10">
                  <c:v>2815.85</c:v>
                </c:pt>
                <c:pt idx="11">
                  <c:v>0</c:v>
                </c:pt>
                <c:pt idx="12">
                  <c:v>47774.09</c:v>
                </c:pt>
                <c:pt idx="13">
                  <c:v>42613.56</c:v>
                </c:pt>
                <c:pt idx="14">
                  <c:v>5160.53</c:v>
                </c:pt>
                <c:pt idx="15">
                  <c:v>1556780.43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9B-43AE-89F3-3AF610C7871E}"/>
            </c:ext>
          </c:extLst>
        </c:ser>
        <c:ser>
          <c:idx val="4"/>
          <c:order val="4"/>
          <c:tx>
            <c:strRef>
              <c:f>' Račun prihoda i rashoda'!$I$9</c:f>
              <c:strCache>
                <c:ptCount val="1"/>
                <c:pt idx="0">
                  <c:v>Izvršenje 01.01.-31.12.2025.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' Račun prihoda i rashoda'!$B$10:$D$25</c:f>
              <c:multiLvlStrCache>
                <c:ptCount val="16"/>
                <c:lvl>
                  <c:pt idx="0">
                    <c:v>1</c:v>
                  </c:pt>
                  <c:pt idx="1">
                    <c:v>Prihodi poslovanja</c:v>
                  </c:pt>
                  <c:pt idx="2">
                    <c:v>Pomoći iz inozemstva i od subjekata unutar općeg proračuna</c:v>
                  </c:pt>
                  <c:pt idx="3">
                    <c:v>Pomoći</c:v>
                  </c:pt>
                  <c:pt idx="4">
                    <c:v>Donacije</c:v>
                  </c:pt>
                  <c:pt idx="5">
                    <c:v>Prihodi od imovine</c:v>
                  </c:pt>
                  <c:pt idx="6">
                    <c:v>Vlastiti prihodi</c:v>
                  </c:pt>
                  <c:pt idx="7">
                    <c:v>Prihodi od upravnih i administrativnih pristojbi, pristojbi po posebnim propisima i naknada</c:v>
                  </c:pt>
                  <c:pt idx="8">
                    <c:v>Prihodi za posebne namjene</c:v>
                  </c:pt>
                  <c:pt idx="9">
                    <c:v>Pomoći</c:v>
                  </c:pt>
                  <c:pt idx="10">
                    <c:v>Donacije</c:v>
                  </c:pt>
                  <c:pt idx="11">
                    <c:v>Prihodi od nefin.imov.i nadok.šteta s osnov.osig.</c:v>
                  </c:pt>
                  <c:pt idx="12">
                    <c:v>Prihodi od prodaje proizvoda i robe te pruženih usluga i prihodi od donacija</c:v>
                  </c:pt>
                  <c:pt idx="13">
                    <c:v>Vlastiti prihodi</c:v>
                  </c:pt>
                  <c:pt idx="14">
                    <c:v>Donacije</c:v>
                  </c:pt>
                  <c:pt idx="15">
                    <c:v>Prihodi iz nadležnog proračuna i od HZZO-a temeljem ugovornih obveza</c:v>
                  </c:pt>
                </c:lvl>
                <c:lvl>
                  <c:pt idx="3">
                    <c:v>5.K.</c:v>
                  </c:pt>
                  <c:pt idx="4">
                    <c:v>6.3.</c:v>
                  </c:pt>
                  <c:pt idx="6">
                    <c:v>3.3.</c:v>
                  </c:pt>
                  <c:pt idx="8">
                    <c:v>4.L.</c:v>
                  </c:pt>
                  <c:pt idx="9">
                    <c:v>5.K.</c:v>
                  </c:pt>
                  <c:pt idx="10">
                    <c:v>6.3.</c:v>
                  </c:pt>
                  <c:pt idx="11">
                    <c:v>7.6.</c:v>
                  </c:pt>
                  <c:pt idx="13">
                    <c:v>3.3.</c:v>
                  </c:pt>
                  <c:pt idx="14">
                    <c:v>6.3.</c:v>
                  </c:pt>
                </c:lvl>
                <c:lvl>
                  <c:pt idx="2">
                    <c:v>63</c:v>
                  </c:pt>
                  <c:pt idx="5">
                    <c:v>64</c:v>
                  </c:pt>
                  <c:pt idx="7">
                    <c:v>65</c:v>
                  </c:pt>
                  <c:pt idx="12">
                    <c:v>66</c:v>
                  </c:pt>
                  <c:pt idx="15">
                    <c:v>67</c:v>
                  </c:pt>
                </c:lvl>
              </c:multiLvlStrCache>
            </c:multiLvlStrRef>
          </c:cat>
          <c:val>
            <c:numRef>
              <c:f>' Račun prihoda i rashoda'!$I$10:$I$25</c:f>
              <c:numCache>
                <c:formatCode>#,##0.00</c:formatCode>
                <c:ptCount val="16"/>
                <c:pt idx="0" formatCode="General">
                  <c:v>4</c:v>
                </c:pt>
                <c:pt idx="1">
                  <c:v>1039158.47</c:v>
                </c:pt>
                <c:pt idx="2">
                  <c:v>919218.12</c:v>
                </c:pt>
                <c:pt idx="3">
                  <c:v>919218.12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21848.22</c:v>
                </c:pt>
                <c:pt idx="8">
                  <c:v>21848.22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25313.78</c:v>
                </c:pt>
                <c:pt idx="13">
                  <c:v>23048.78</c:v>
                </c:pt>
                <c:pt idx="14">
                  <c:v>2265</c:v>
                </c:pt>
                <c:pt idx="15">
                  <c:v>72778.350000000006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9B-43AE-89F3-3AF610C78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2984176"/>
        <c:axId val="662986696"/>
      </c:barChart>
      <c:catAx>
        <c:axId val="66298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62986696"/>
        <c:crosses val="autoZero"/>
        <c:auto val="1"/>
        <c:lblAlgn val="ctr"/>
        <c:lblOffset val="100"/>
        <c:noMultiLvlLbl val="0"/>
      </c:catAx>
      <c:valAx>
        <c:axId val="662986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6298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prema funkcijskoj</a:t>
            </a:r>
            <a:r>
              <a:rPr lang="hr-HR" baseline="0"/>
              <a:t> klasifikaciji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'Rashodi prema funkcijskoj kl'!$B$9</c:f>
              <c:strCache>
                <c:ptCount val="1"/>
                <c:pt idx="0">
                  <c:v>Izvršenje 2021.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'Rashodi prema funkcijskoj kl'!$A$10:$A$16</c:f>
              <c:strCache>
                <c:ptCount val="4"/>
                <c:pt idx="0">
                  <c:v>091 Predškolsko i osnovno obrazovanje</c:v>
                </c:pt>
                <c:pt idx="1">
                  <c:v>096 Dodatne usluge u obrazovanju</c:v>
                </c:pt>
                <c:pt idx="2">
                  <c:v>097 Istraživanje i razvoj obrazovanja</c:v>
                </c:pt>
                <c:pt idx="3">
                  <c:v>098 Usluge u obrazovanju koje nisu drugdje svrstane</c:v>
                </c:pt>
              </c:strCache>
            </c:strRef>
          </c:cat>
          <c:val>
            <c:numRef>
              <c:f>'Rashodi prema funkcijskoj kl'!$B$10:$B$16</c:f>
            </c:numRef>
          </c:val>
          <c:extLst>
            <c:ext xmlns:c16="http://schemas.microsoft.com/office/drawing/2014/chart" uri="{C3380CC4-5D6E-409C-BE32-E72D297353CC}">
              <c16:uniqueId val="{00000000-8EF2-4379-8CF2-A22F28B64067}"/>
            </c:ext>
          </c:extLst>
        </c:ser>
        <c:ser>
          <c:idx val="1"/>
          <c:order val="1"/>
          <c:tx>
            <c:strRef>
              <c:f>'Rashodi prema funkcijskoj kl'!$C$9</c:f>
              <c:strCache>
                <c:ptCount val="1"/>
                <c:pt idx="0">
                  <c:v>Izvršenje prethodne godine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'Rashodi prema funkcijskoj kl'!$A$10:$A$16</c:f>
              <c:strCache>
                <c:ptCount val="4"/>
                <c:pt idx="0">
                  <c:v>091 Predškolsko i osnovno obrazovanje</c:v>
                </c:pt>
                <c:pt idx="1">
                  <c:v>096 Dodatne usluge u obrazovanju</c:v>
                </c:pt>
                <c:pt idx="2">
                  <c:v>097 Istraživanje i razvoj obrazovanja</c:v>
                </c:pt>
                <c:pt idx="3">
                  <c:v>098 Usluge u obrazovanju koje nisu drugdje svrstane</c:v>
                </c:pt>
              </c:strCache>
            </c:strRef>
          </c:cat>
          <c:val>
            <c:numRef>
              <c:f>'Rashodi prema funkcijskoj kl'!$C$10:$C$16</c:f>
              <c:numCache>
                <c:formatCode>#,##0.00</c:formatCode>
                <c:ptCount val="4"/>
                <c:pt idx="0">
                  <c:v>3123116.21</c:v>
                </c:pt>
                <c:pt idx="1">
                  <c:v>50257.599999999999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F2-4379-8CF2-A22F28B64067}"/>
            </c:ext>
          </c:extLst>
        </c:ser>
        <c:ser>
          <c:idx val="2"/>
          <c:order val="2"/>
          <c:tx>
            <c:strRef>
              <c:f>'Rashodi prema funkcijskoj kl'!$D$9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'Rashodi prema funkcijskoj kl'!$A$10:$A$16</c:f>
              <c:strCache>
                <c:ptCount val="4"/>
                <c:pt idx="0">
                  <c:v>091 Predškolsko i osnovno obrazovanje</c:v>
                </c:pt>
                <c:pt idx="1">
                  <c:v>096 Dodatne usluge u obrazovanju</c:v>
                </c:pt>
                <c:pt idx="2">
                  <c:v>097 Istraživanje i razvoj obrazovanja</c:v>
                </c:pt>
                <c:pt idx="3">
                  <c:v>098 Usluge u obrazovanju koje nisu drugdje svrstane</c:v>
                </c:pt>
              </c:strCache>
            </c:strRef>
          </c:cat>
          <c:val>
            <c:numRef>
              <c:f>'Rashodi prema funkcijskoj kl'!$D$10:$D$16</c:f>
            </c:numRef>
          </c:val>
          <c:extLst>
            <c:ext xmlns:c16="http://schemas.microsoft.com/office/drawing/2014/chart" uri="{C3380CC4-5D6E-409C-BE32-E72D297353CC}">
              <c16:uniqueId val="{00000002-8EF2-4379-8CF2-A22F28B64067}"/>
            </c:ext>
          </c:extLst>
        </c:ser>
        <c:ser>
          <c:idx val="3"/>
          <c:order val="3"/>
          <c:tx>
            <c:strRef>
              <c:f>'Rashodi prema funkcijskoj kl'!$E$9</c:f>
              <c:strCache>
                <c:ptCount val="1"/>
                <c:pt idx="0">
                  <c:v>Plan za 2023.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'Rashodi prema funkcijskoj kl'!$A$10:$A$16</c:f>
              <c:strCache>
                <c:ptCount val="4"/>
                <c:pt idx="0">
                  <c:v>091 Predškolsko i osnovno obrazovanje</c:v>
                </c:pt>
                <c:pt idx="1">
                  <c:v>096 Dodatne usluge u obrazovanju</c:v>
                </c:pt>
                <c:pt idx="2">
                  <c:v>097 Istraživanje i razvoj obrazovanja</c:v>
                </c:pt>
                <c:pt idx="3">
                  <c:v>098 Usluge u obrazovanju koje nisu drugdje svrstane</c:v>
                </c:pt>
              </c:strCache>
            </c:strRef>
          </c:cat>
          <c:val>
            <c:numRef>
              <c:f>'Rashodi prema funkcijskoj kl'!$E$10:$E$16</c:f>
            </c:numRef>
          </c:val>
          <c:extLst>
            <c:ext xmlns:c16="http://schemas.microsoft.com/office/drawing/2014/chart" uri="{C3380CC4-5D6E-409C-BE32-E72D297353CC}">
              <c16:uniqueId val="{00000003-8EF2-4379-8CF2-A22F28B64067}"/>
            </c:ext>
          </c:extLst>
        </c:ser>
        <c:ser>
          <c:idx val="4"/>
          <c:order val="4"/>
          <c:tx>
            <c:strRef>
              <c:f>'Rashodi prema funkcijskoj kl'!$F$9</c:f>
              <c:strCache>
                <c:ptCount val="1"/>
                <c:pt idx="0">
                  <c:v>Plan tekuće godine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'Rashodi prema funkcijskoj kl'!$A$10:$A$16</c:f>
              <c:strCache>
                <c:ptCount val="4"/>
                <c:pt idx="0">
                  <c:v>091 Predškolsko i osnovno obrazovanje</c:v>
                </c:pt>
                <c:pt idx="1">
                  <c:v>096 Dodatne usluge u obrazovanju</c:v>
                </c:pt>
                <c:pt idx="2">
                  <c:v>097 Istraživanje i razvoj obrazovanja</c:v>
                </c:pt>
                <c:pt idx="3">
                  <c:v>098 Usluge u obrazovanju koje nisu drugdje svrstane</c:v>
                </c:pt>
              </c:strCache>
            </c:strRef>
          </c:cat>
          <c:val>
            <c:numRef>
              <c:f>'Rashodi prema funkcijskoj kl'!$F$10:$F$16</c:f>
              <c:numCache>
                <c:formatCode>#,##0.00</c:formatCode>
                <c:ptCount val="4"/>
                <c:pt idx="0">
                  <c:v>3255427.11</c:v>
                </c:pt>
                <c:pt idx="1">
                  <c:v>68147.64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F2-4379-8CF2-A22F28B64067}"/>
            </c:ext>
          </c:extLst>
        </c:ser>
        <c:ser>
          <c:idx val="5"/>
          <c:order val="5"/>
          <c:tx>
            <c:strRef>
              <c:f>'Rashodi prema funkcijskoj kl'!$G$9</c:f>
              <c:strCache>
                <c:ptCount val="1"/>
                <c:pt idx="0">
                  <c:v>Izvršenje 01.01.-30.06.2023.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'Rashodi prema funkcijskoj kl'!$A$10:$A$16</c:f>
              <c:strCache>
                <c:ptCount val="4"/>
                <c:pt idx="0">
                  <c:v>091 Predškolsko i osnovno obrazovanje</c:v>
                </c:pt>
                <c:pt idx="1">
                  <c:v>096 Dodatne usluge u obrazovanju</c:v>
                </c:pt>
                <c:pt idx="2">
                  <c:v>097 Istraživanje i razvoj obrazovanja</c:v>
                </c:pt>
                <c:pt idx="3">
                  <c:v>098 Usluge u obrazovanju koje nisu drugdje svrstane</c:v>
                </c:pt>
              </c:strCache>
            </c:strRef>
          </c:cat>
          <c:val>
            <c:numRef>
              <c:f>'Rashodi prema funkcijskoj kl'!$G$10:$G$16</c:f>
              <c:numCache>
                <c:formatCode>#,##0.00</c:formatCode>
                <c:ptCount val="4"/>
                <c:pt idx="0">
                  <c:v>1039337.63</c:v>
                </c:pt>
                <c:pt idx="1">
                  <c:v>1014.66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EF2-4379-8CF2-A22F28B640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8241344"/>
        <c:axId val="668242424"/>
      </c:barChart>
      <c:catAx>
        <c:axId val="66824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68242424"/>
        <c:crosses val="autoZero"/>
        <c:auto val="1"/>
        <c:lblAlgn val="ctr"/>
        <c:lblOffset val="100"/>
        <c:noMultiLvlLbl val="0"/>
      </c:catAx>
      <c:valAx>
        <c:axId val="668242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6824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D1021D57EEA4F8BCF658B8EB62EE8" ma:contentTypeVersion="31" ma:contentTypeDescription="Create a new document." ma:contentTypeScope="" ma:versionID="1b480949731f0d8403ac336c6b01cb18">
  <xsd:schema xmlns:xsd="http://www.w3.org/2001/XMLSchema" xmlns:xs="http://www.w3.org/2001/XMLSchema" xmlns:p="http://schemas.microsoft.com/office/2006/metadata/properties" xmlns:ns3="103d5cfd-3c97-4c15-984d-6050622429ba" xmlns:ns4="73200771-2eec-481d-90e6-e6c9ee9a605c" targetNamespace="http://schemas.microsoft.com/office/2006/metadata/properties" ma:root="true" ma:fieldsID="269e9947386dbf8fbd4d2d951ea1cfcd" ns3:_="" ns4:_="">
    <xsd:import namespace="103d5cfd-3c97-4c15-984d-6050622429ba"/>
    <xsd:import namespace="73200771-2eec-481d-90e6-e6c9ee9a60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TeamsChannelId" minOccurs="0"/>
                <xsd:element ref="ns4:Templates" minOccurs="0"/>
                <xsd:element ref="ns4:Self_Registration_Enabled0" minOccurs="0"/>
                <xsd:element ref="ns4:IsNotebookLocked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d5cfd-3c97-4c15-984d-6050622429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00771-2eec-481d-90e6-e6c9ee9a605c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73200771-2eec-481d-90e6-e6c9ee9a605c" xsi:nil="true"/>
    <CultureName xmlns="73200771-2eec-481d-90e6-e6c9ee9a605c" xsi:nil="true"/>
    <Students xmlns="73200771-2eec-481d-90e6-e6c9ee9a605c">
      <UserInfo>
        <DisplayName/>
        <AccountId xsi:nil="true"/>
        <AccountType/>
      </UserInfo>
    </Students>
    <Invited_Students xmlns="73200771-2eec-481d-90e6-e6c9ee9a605c" xsi:nil="true"/>
    <TeamsChannelId xmlns="73200771-2eec-481d-90e6-e6c9ee9a605c" xsi:nil="true"/>
    <Self_Registration_Enabled xmlns="73200771-2eec-481d-90e6-e6c9ee9a605c" xsi:nil="true"/>
    <Student_Groups xmlns="73200771-2eec-481d-90e6-e6c9ee9a605c">
      <UserInfo>
        <DisplayName/>
        <AccountId xsi:nil="true"/>
        <AccountType/>
      </UserInfo>
    </Student_Groups>
    <AppVersion xmlns="73200771-2eec-481d-90e6-e6c9ee9a605c" xsi:nil="true"/>
    <Has_Teacher_Only_SectionGroup xmlns="73200771-2eec-481d-90e6-e6c9ee9a605c" xsi:nil="true"/>
    <NotebookType xmlns="73200771-2eec-481d-90e6-e6c9ee9a605c" xsi:nil="true"/>
    <FolderType xmlns="73200771-2eec-481d-90e6-e6c9ee9a605c" xsi:nil="true"/>
    <Teachers xmlns="73200771-2eec-481d-90e6-e6c9ee9a605c">
      <UserInfo>
        <DisplayName/>
        <AccountId xsi:nil="true"/>
        <AccountType/>
      </UserInfo>
    </Teachers>
    <DefaultSectionNames xmlns="73200771-2eec-481d-90e6-e6c9ee9a605c" xsi:nil="true"/>
    <Is_Collaboration_Space_Locked xmlns="73200771-2eec-481d-90e6-e6c9ee9a605c" xsi:nil="true"/>
    <Self_Registration_Enabled0 xmlns="73200771-2eec-481d-90e6-e6c9ee9a605c" xsi:nil="true"/>
    <Owner xmlns="73200771-2eec-481d-90e6-e6c9ee9a605c">
      <UserInfo>
        <DisplayName/>
        <AccountId xsi:nil="true"/>
        <AccountType/>
      </UserInfo>
    </Owner>
    <Invited_Teachers xmlns="73200771-2eec-481d-90e6-e6c9ee9a605c" xsi:nil="true"/>
    <IsNotebookLocked xmlns="73200771-2eec-481d-90e6-e6c9ee9a605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1C04-6C14-4C0D-9F5D-CAAFC3A6E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A73E243-0FC9-4E72-9740-DD263D1A8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d5cfd-3c97-4c15-984d-6050622429ba"/>
    <ds:schemaRef ds:uri="73200771-2eec-481d-90e6-e6c9ee9a6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71BC5-DB59-4667-83B5-C8C7DEC97749}">
  <ds:schemaRefs>
    <ds:schemaRef ds:uri="http://schemas.microsoft.com/office/2006/metadata/properties"/>
    <ds:schemaRef ds:uri="http://schemas.microsoft.com/office/infopath/2007/PartnerControls"/>
    <ds:schemaRef ds:uri="73200771-2eec-481d-90e6-e6c9ee9a605c"/>
  </ds:schemaRefs>
</ds:datastoreItem>
</file>

<file path=customXml/itemProps5.xml><?xml version="1.0" encoding="utf-8"?>
<ds:datastoreItem xmlns:ds="http://schemas.openxmlformats.org/officeDocument/2006/customXml" ds:itemID="{11CAD77C-B18E-4A59-B0E8-41451D98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 Print Adria d.o.o.</dc:creator>
  <cp:lastModifiedBy>Korisnik</cp:lastModifiedBy>
  <cp:revision>39</cp:revision>
  <cp:lastPrinted>2022-05-10T11:27:00Z</cp:lastPrinted>
  <dcterms:created xsi:type="dcterms:W3CDTF">2022-06-09T11:30:00Z</dcterms:created>
  <dcterms:modified xsi:type="dcterms:W3CDTF">2026-04-15T10:27:00Z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0x01010081AD1021D57EEA4F8BCF658B8EB62EE8</vt:lpwstr>
  </property>
  <property fmtid="{D5CDD505-2E9C-101B-9397-08002B2CF9AE}" pid="3" name="KSOProductBuildVer">
    <vt:lpwstr>1033-11.2.0.10294</vt:lpwstr>
  </property>
  <property fmtid="{D5CDD505-2E9C-101B-9397-08002B2CF9AE}" pid="4" name="ICV">
    <vt:lpwstr>C1614D619A12446F8E64DF333BE7629B</vt:lpwstr>
  </property>
</Properties>
</file>